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9DA46" w14:textId="1DA4CECF" w:rsidR="00A81C77" w:rsidRDefault="00A81C77" w:rsidP="00A81C77">
      <w:pPr>
        <w:spacing w:after="480"/>
      </w:pPr>
      <w:r>
        <w:rPr>
          <w:noProof/>
        </w:rPr>
        <w:drawing>
          <wp:inline distT="0" distB="0" distL="0" distR="0" wp14:anchorId="7DD3DA48" wp14:editId="4369F3BE">
            <wp:extent cx="2443163" cy="705397"/>
            <wp:effectExtent l="0" t="0" r="0" b="0"/>
            <wp:docPr id="1" name="Picture 1" descr="London Borough of Harr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ndon Borough of Harrow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81194" cy="716378"/>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97"/>
        <w:gridCol w:w="4912"/>
      </w:tblGrid>
      <w:tr w:rsidR="00A81C77" w14:paraId="083B01A3" w14:textId="77777777" w:rsidTr="001D2765">
        <w:trPr>
          <w:tblHeader/>
        </w:trPr>
        <w:tc>
          <w:tcPr>
            <w:tcW w:w="3397" w:type="dxa"/>
            <w:tcBorders>
              <w:bottom w:val="single" w:sz="18" w:space="0" w:color="auto"/>
            </w:tcBorders>
          </w:tcPr>
          <w:p w14:paraId="51A772F0" w14:textId="77777777" w:rsidR="00A81C77" w:rsidRPr="00B805DB" w:rsidRDefault="00A81C77">
            <w:pPr>
              <w:pStyle w:val="Heading1"/>
              <w:spacing w:after="240"/>
            </w:pPr>
            <w:r>
              <w:t>Report f</w:t>
            </w:r>
            <w:r w:rsidRPr="00C869F3">
              <w:t>or:</w:t>
            </w:r>
          </w:p>
        </w:tc>
        <w:tc>
          <w:tcPr>
            <w:tcW w:w="4912" w:type="dxa"/>
            <w:tcBorders>
              <w:bottom w:val="single" w:sz="18" w:space="0" w:color="auto"/>
            </w:tcBorders>
          </w:tcPr>
          <w:p w14:paraId="1FF15448" w14:textId="77777777" w:rsidR="00A81C77" w:rsidRPr="005E3A10" w:rsidRDefault="00A81C77">
            <w:pPr>
              <w:pStyle w:val="Heading1"/>
              <w:rPr>
                <w:szCs w:val="24"/>
              </w:rPr>
            </w:pPr>
            <w:r w:rsidRPr="005E3A10">
              <w:t>Cabinet</w:t>
            </w:r>
          </w:p>
        </w:tc>
      </w:tr>
      <w:tr w:rsidR="00A81C77" w14:paraId="0920D3C5" w14:textId="77777777" w:rsidTr="001D2765">
        <w:tc>
          <w:tcPr>
            <w:tcW w:w="3397" w:type="dxa"/>
            <w:tcBorders>
              <w:top w:val="single" w:sz="18" w:space="0" w:color="auto"/>
            </w:tcBorders>
          </w:tcPr>
          <w:p w14:paraId="5ABA7586" w14:textId="77777777" w:rsidR="00A81C77" w:rsidRPr="00C13A5F" w:rsidRDefault="00A81C77">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4912" w:type="dxa"/>
            <w:tcBorders>
              <w:top w:val="single" w:sz="18" w:space="0" w:color="auto"/>
            </w:tcBorders>
          </w:tcPr>
          <w:p w14:paraId="3E3B6F12" w14:textId="5B25A8EF" w:rsidR="00A81C77" w:rsidRPr="005E3A10" w:rsidRDefault="00862BE6">
            <w:pPr>
              <w:rPr>
                <w:rFonts w:cs="Arial"/>
              </w:rPr>
            </w:pPr>
            <w:r>
              <w:rPr>
                <w:rFonts w:cs="Arial"/>
              </w:rPr>
              <w:t>16</w:t>
            </w:r>
            <w:r w:rsidR="00EC7A99">
              <w:rPr>
                <w:rFonts w:cs="Arial"/>
              </w:rPr>
              <w:t xml:space="preserve"> November</w:t>
            </w:r>
            <w:r w:rsidR="00D95809" w:rsidRPr="2FBF4A00">
              <w:rPr>
                <w:rFonts w:cs="Arial"/>
              </w:rPr>
              <w:t xml:space="preserve"> 2023</w:t>
            </w:r>
          </w:p>
        </w:tc>
      </w:tr>
      <w:tr w:rsidR="00A81C77" w14:paraId="5C13D111" w14:textId="77777777" w:rsidTr="001D2765">
        <w:tc>
          <w:tcPr>
            <w:tcW w:w="3397" w:type="dxa"/>
          </w:tcPr>
          <w:p w14:paraId="4B68D1F5" w14:textId="77777777" w:rsidR="00A81C77" w:rsidRPr="00C13A5F" w:rsidRDefault="00A81C77">
            <w:pPr>
              <w:pStyle w:val="Infotext"/>
              <w:spacing w:after="240"/>
              <w:rPr>
                <w:rFonts w:ascii="Arial Black" w:hAnsi="Arial Black"/>
              </w:rPr>
            </w:pPr>
            <w:r w:rsidRPr="00C13A5F">
              <w:rPr>
                <w:rFonts w:ascii="Arial Black" w:hAnsi="Arial Black" w:cs="Arial"/>
              </w:rPr>
              <w:t>Subject:</w:t>
            </w:r>
          </w:p>
        </w:tc>
        <w:tc>
          <w:tcPr>
            <w:tcW w:w="4912" w:type="dxa"/>
          </w:tcPr>
          <w:p w14:paraId="2161F501" w14:textId="352936B4" w:rsidR="00A81C77" w:rsidRDefault="007E4E82" w:rsidP="00631868">
            <w:r w:rsidRPr="00F3650D">
              <w:t xml:space="preserve">Electric Vehicle Charging </w:t>
            </w:r>
            <w:r w:rsidR="00631868">
              <w:t xml:space="preserve">Strategy: Draft for </w:t>
            </w:r>
            <w:r w:rsidR="00C65689">
              <w:t>approval.</w:t>
            </w:r>
          </w:p>
          <w:p w14:paraId="0F4B6FFC" w14:textId="3886AB2F" w:rsidR="000A08E7" w:rsidRPr="005E3A10" w:rsidRDefault="000A08E7" w:rsidP="00631868">
            <w:pPr>
              <w:rPr>
                <w:rFonts w:cs="Arial"/>
                <w:szCs w:val="24"/>
              </w:rPr>
            </w:pPr>
          </w:p>
        </w:tc>
      </w:tr>
      <w:tr w:rsidR="00A81C77" w14:paraId="1249F00B" w14:textId="77777777" w:rsidTr="001D2765">
        <w:tc>
          <w:tcPr>
            <w:tcW w:w="3397" w:type="dxa"/>
          </w:tcPr>
          <w:p w14:paraId="7F484DB1" w14:textId="77777777" w:rsidR="00A81C77" w:rsidRPr="00C13A5F" w:rsidRDefault="00A81C77">
            <w:pPr>
              <w:pStyle w:val="Infotext"/>
              <w:spacing w:after="240"/>
              <w:rPr>
                <w:rFonts w:ascii="Arial Black" w:hAnsi="Arial Black" w:cs="Arial"/>
              </w:rPr>
            </w:pPr>
            <w:r w:rsidRPr="00C13A5F">
              <w:rPr>
                <w:rFonts w:ascii="Arial Black" w:hAnsi="Arial Black" w:cs="Arial"/>
              </w:rPr>
              <w:t>Key Decision:</w:t>
            </w:r>
          </w:p>
        </w:tc>
        <w:tc>
          <w:tcPr>
            <w:tcW w:w="4912" w:type="dxa"/>
          </w:tcPr>
          <w:p w14:paraId="7DF15FA7" w14:textId="3BB66C35" w:rsidR="00A81C77" w:rsidRPr="005E3A10" w:rsidRDefault="00A81C77" w:rsidP="00EE69BA">
            <w:pPr>
              <w:pStyle w:val="Infotext"/>
              <w:rPr>
                <w:rFonts w:cs="Arial"/>
                <w:color w:val="FF0000"/>
                <w:sz w:val="24"/>
                <w:szCs w:val="24"/>
              </w:rPr>
            </w:pPr>
            <w:r w:rsidRPr="005E3A10">
              <w:rPr>
                <w:rFonts w:cs="Arial"/>
                <w:sz w:val="24"/>
                <w:szCs w:val="24"/>
              </w:rPr>
              <w:t>Yes</w:t>
            </w:r>
            <w:r w:rsidR="00EE69BA">
              <w:rPr>
                <w:rFonts w:cs="Arial"/>
                <w:sz w:val="24"/>
                <w:szCs w:val="24"/>
              </w:rPr>
              <w:t xml:space="preserve">, </w:t>
            </w:r>
            <w:r w:rsidR="00E71413">
              <w:rPr>
                <w:rFonts w:cs="Arial"/>
                <w:sz w:val="24"/>
                <w:szCs w:val="24"/>
              </w:rPr>
              <w:t xml:space="preserve">affects </w:t>
            </w:r>
            <w:r w:rsidR="00DA337F" w:rsidRPr="00DA337F">
              <w:rPr>
                <w:rFonts w:cs="Arial"/>
                <w:sz w:val="24"/>
                <w:szCs w:val="24"/>
              </w:rPr>
              <w:t xml:space="preserve">multiple wards and over time will be significant in terms of its impact on our communities. </w:t>
            </w:r>
          </w:p>
          <w:p w14:paraId="2FEF818E" w14:textId="77777777" w:rsidR="00A81C77" w:rsidRPr="005E3A10" w:rsidRDefault="00A81C77">
            <w:pPr>
              <w:rPr>
                <w:rFonts w:cs="Arial"/>
                <w:szCs w:val="24"/>
              </w:rPr>
            </w:pPr>
          </w:p>
        </w:tc>
      </w:tr>
      <w:tr w:rsidR="00A81C77" w14:paraId="179959D7" w14:textId="77777777" w:rsidTr="001D2765">
        <w:tc>
          <w:tcPr>
            <w:tcW w:w="3397" w:type="dxa"/>
          </w:tcPr>
          <w:p w14:paraId="398A861A" w14:textId="77777777" w:rsidR="00A81C77" w:rsidRPr="00C13A5F" w:rsidRDefault="00A81C77">
            <w:pPr>
              <w:pStyle w:val="Infotext"/>
              <w:spacing w:after="240"/>
              <w:rPr>
                <w:rFonts w:ascii="Arial Black" w:hAnsi="Arial Black" w:cs="Arial"/>
              </w:rPr>
            </w:pPr>
            <w:r w:rsidRPr="00C13A5F">
              <w:rPr>
                <w:rFonts w:ascii="Arial Black" w:hAnsi="Arial Black" w:cs="Arial"/>
              </w:rPr>
              <w:t>Responsible Officer:</w:t>
            </w:r>
          </w:p>
        </w:tc>
        <w:tc>
          <w:tcPr>
            <w:tcW w:w="4912" w:type="dxa"/>
          </w:tcPr>
          <w:p w14:paraId="12475E74" w14:textId="606201D9" w:rsidR="00A81C77" w:rsidRPr="005E3A10" w:rsidRDefault="00501582">
            <w:pPr>
              <w:pStyle w:val="Infotext"/>
              <w:rPr>
                <w:rFonts w:cs="Arial"/>
                <w:sz w:val="24"/>
                <w:szCs w:val="24"/>
              </w:rPr>
            </w:pPr>
            <w:r>
              <w:rPr>
                <w:rFonts w:cs="Arial"/>
                <w:sz w:val="24"/>
                <w:szCs w:val="24"/>
              </w:rPr>
              <w:t xml:space="preserve">Dipti Patel, Corporate Director for Place </w:t>
            </w:r>
          </w:p>
          <w:p w14:paraId="56FF34CC" w14:textId="77777777" w:rsidR="00A81C77" w:rsidRPr="005E3A10" w:rsidRDefault="00A81C77">
            <w:pPr>
              <w:pStyle w:val="Infotext"/>
              <w:rPr>
                <w:rFonts w:cs="Arial"/>
                <w:sz w:val="24"/>
                <w:szCs w:val="24"/>
              </w:rPr>
            </w:pPr>
          </w:p>
        </w:tc>
      </w:tr>
      <w:tr w:rsidR="00A81C77" w14:paraId="3E7B45AA" w14:textId="77777777" w:rsidTr="001D2765">
        <w:tc>
          <w:tcPr>
            <w:tcW w:w="3397" w:type="dxa"/>
          </w:tcPr>
          <w:p w14:paraId="71185DE0" w14:textId="77777777" w:rsidR="00A81C77" w:rsidRPr="00C13A5F" w:rsidRDefault="00A81C77">
            <w:pPr>
              <w:pStyle w:val="Infotext"/>
              <w:spacing w:after="240"/>
              <w:rPr>
                <w:rFonts w:ascii="Arial Black" w:hAnsi="Arial Black"/>
              </w:rPr>
            </w:pPr>
            <w:r w:rsidRPr="00DB6C3D">
              <w:rPr>
                <w:rFonts w:ascii="Arial Black" w:hAnsi="Arial Black"/>
              </w:rPr>
              <w:t>Portfolio Holder:</w:t>
            </w:r>
          </w:p>
        </w:tc>
        <w:tc>
          <w:tcPr>
            <w:tcW w:w="4912" w:type="dxa"/>
          </w:tcPr>
          <w:p w14:paraId="0F43FE31" w14:textId="62478322" w:rsidR="00A81C77" w:rsidRPr="00BC007E" w:rsidRDefault="00501582">
            <w:pPr>
              <w:pStyle w:val="Infotext"/>
              <w:rPr>
                <w:rFonts w:cs="Arial"/>
                <w:color w:val="FF0000"/>
                <w:sz w:val="24"/>
                <w:szCs w:val="24"/>
              </w:rPr>
            </w:pPr>
            <w:r>
              <w:rPr>
                <w:rFonts w:cs="Arial"/>
                <w:sz w:val="24"/>
                <w:szCs w:val="24"/>
              </w:rPr>
              <w:t xml:space="preserve">Councillor Anjana Patel, </w:t>
            </w:r>
            <w:r w:rsidR="009A279F" w:rsidRPr="009A279F">
              <w:rPr>
                <w:rFonts w:cs="Arial"/>
                <w:sz w:val="24"/>
                <w:szCs w:val="24"/>
              </w:rPr>
              <w:t>Portfolio Holder for Highways, Infrastructure and Community Safety</w:t>
            </w:r>
          </w:p>
        </w:tc>
      </w:tr>
      <w:tr w:rsidR="00A81C77" w14:paraId="403A503D" w14:textId="77777777" w:rsidTr="001D2765">
        <w:tc>
          <w:tcPr>
            <w:tcW w:w="3397" w:type="dxa"/>
          </w:tcPr>
          <w:p w14:paraId="27125077" w14:textId="77777777" w:rsidR="009B7DA5" w:rsidRDefault="009B7DA5">
            <w:pPr>
              <w:pStyle w:val="Infotext"/>
              <w:spacing w:after="240"/>
              <w:rPr>
                <w:rFonts w:ascii="Arial Black" w:hAnsi="Arial Black"/>
              </w:rPr>
            </w:pPr>
          </w:p>
          <w:p w14:paraId="1A2C5683" w14:textId="41DBC49B" w:rsidR="00A81C77" w:rsidRPr="00C13A5F" w:rsidRDefault="00A81C77">
            <w:pPr>
              <w:pStyle w:val="Infotext"/>
              <w:spacing w:after="240"/>
              <w:rPr>
                <w:rFonts w:ascii="Arial Black" w:hAnsi="Arial Black"/>
              </w:rPr>
            </w:pPr>
            <w:r w:rsidRPr="00DB6C3D">
              <w:rPr>
                <w:rFonts w:ascii="Arial Black" w:hAnsi="Arial Black"/>
              </w:rPr>
              <w:t>Exempt:</w:t>
            </w:r>
          </w:p>
        </w:tc>
        <w:tc>
          <w:tcPr>
            <w:tcW w:w="4912" w:type="dxa"/>
          </w:tcPr>
          <w:p w14:paraId="2AC4F87D" w14:textId="77777777" w:rsidR="006557FC" w:rsidRDefault="006557FC">
            <w:pPr>
              <w:pStyle w:val="Infotext"/>
              <w:rPr>
                <w:rFonts w:cs="Arial"/>
                <w:sz w:val="24"/>
                <w:szCs w:val="24"/>
              </w:rPr>
            </w:pPr>
          </w:p>
          <w:p w14:paraId="04392020" w14:textId="77777777" w:rsidR="006557FC" w:rsidRDefault="006557FC">
            <w:pPr>
              <w:pStyle w:val="Infotext"/>
              <w:rPr>
                <w:rFonts w:cs="Arial"/>
                <w:sz w:val="24"/>
                <w:szCs w:val="24"/>
              </w:rPr>
            </w:pPr>
          </w:p>
          <w:p w14:paraId="348DD53D" w14:textId="04A5BD20" w:rsidR="00A81C77" w:rsidRPr="005E3A10" w:rsidRDefault="003612F1" w:rsidP="003D74D1">
            <w:pPr>
              <w:pStyle w:val="Infotext"/>
              <w:rPr>
                <w:rFonts w:cs="Arial"/>
                <w:color w:val="FF0000"/>
                <w:sz w:val="24"/>
                <w:szCs w:val="24"/>
              </w:rPr>
            </w:pPr>
            <w:r w:rsidRPr="003612F1">
              <w:rPr>
                <w:rFonts w:cs="Arial"/>
                <w:sz w:val="24"/>
                <w:szCs w:val="24"/>
              </w:rPr>
              <w:t>No</w:t>
            </w:r>
          </w:p>
        </w:tc>
      </w:tr>
      <w:tr w:rsidR="00A81C77" w14:paraId="0C786B97" w14:textId="77777777" w:rsidTr="001D2765">
        <w:tc>
          <w:tcPr>
            <w:tcW w:w="3397" w:type="dxa"/>
          </w:tcPr>
          <w:p w14:paraId="18250E27" w14:textId="77777777" w:rsidR="00A81C77" w:rsidRPr="00C13A5F" w:rsidRDefault="00A81C77">
            <w:pPr>
              <w:pStyle w:val="Infotext"/>
              <w:spacing w:after="240"/>
              <w:rPr>
                <w:rFonts w:ascii="Arial Black" w:hAnsi="Arial Black"/>
              </w:rPr>
            </w:pPr>
            <w:r w:rsidRPr="00DB6C3D">
              <w:rPr>
                <w:rFonts w:ascii="Arial Black" w:hAnsi="Arial Black"/>
              </w:rPr>
              <w:t>Decision subject to Call-in:</w:t>
            </w:r>
          </w:p>
        </w:tc>
        <w:tc>
          <w:tcPr>
            <w:tcW w:w="4912" w:type="dxa"/>
          </w:tcPr>
          <w:p w14:paraId="748E588C" w14:textId="77777777" w:rsidR="0029537B" w:rsidRDefault="0029537B" w:rsidP="00E72197">
            <w:pPr>
              <w:rPr>
                <w:rFonts w:cs="Arial"/>
                <w:szCs w:val="24"/>
              </w:rPr>
            </w:pPr>
          </w:p>
          <w:p w14:paraId="526F2201" w14:textId="37C06E8C" w:rsidR="00A81C77" w:rsidRPr="005E3A10" w:rsidRDefault="00A81C77" w:rsidP="00E72197">
            <w:pPr>
              <w:rPr>
                <w:rFonts w:cs="Arial"/>
                <w:szCs w:val="24"/>
              </w:rPr>
            </w:pPr>
            <w:r w:rsidRPr="005E3A10">
              <w:rPr>
                <w:rFonts w:cs="Arial"/>
                <w:szCs w:val="24"/>
              </w:rPr>
              <w:t xml:space="preserve">Yes </w:t>
            </w:r>
          </w:p>
        </w:tc>
      </w:tr>
      <w:tr w:rsidR="00A81C77" w14:paraId="7D2423C2" w14:textId="77777777" w:rsidTr="001D2765">
        <w:tc>
          <w:tcPr>
            <w:tcW w:w="3397" w:type="dxa"/>
          </w:tcPr>
          <w:p w14:paraId="02C43090" w14:textId="77777777" w:rsidR="00A81C77" w:rsidRPr="00C13A5F" w:rsidRDefault="00A81C77">
            <w:pPr>
              <w:pStyle w:val="Infotext"/>
              <w:spacing w:after="240"/>
              <w:rPr>
                <w:rFonts w:ascii="Arial Black" w:hAnsi="Arial Black" w:cs="Arial"/>
              </w:rPr>
            </w:pPr>
            <w:r>
              <w:rPr>
                <w:rFonts w:ascii="Arial Black" w:hAnsi="Arial Black" w:cs="Arial"/>
              </w:rPr>
              <w:t>Wards affected:</w:t>
            </w:r>
          </w:p>
        </w:tc>
        <w:tc>
          <w:tcPr>
            <w:tcW w:w="4912" w:type="dxa"/>
          </w:tcPr>
          <w:p w14:paraId="61044DA9" w14:textId="4F469F3B" w:rsidR="00A81C77" w:rsidRPr="00307F76" w:rsidRDefault="0029537B">
            <w:pPr>
              <w:rPr>
                <w:rFonts w:cs="Arial"/>
                <w:b/>
                <w:color w:val="FF0000"/>
                <w:szCs w:val="24"/>
              </w:rPr>
            </w:pPr>
            <w:r>
              <w:rPr>
                <w:rFonts w:cs="Arial"/>
                <w:szCs w:val="24"/>
              </w:rPr>
              <w:t>All</w:t>
            </w:r>
          </w:p>
        </w:tc>
      </w:tr>
      <w:tr w:rsidR="00A81C77" w14:paraId="6F473044" w14:textId="77777777" w:rsidTr="001D2765">
        <w:tc>
          <w:tcPr>
            <w:tcW w:w="3397" w:type="dxa"/>
          </w:tcPr>
          <w:p w14:paraId="6E7CC1BC" w14:textId="77777777" w:rsidR="00A81C77" w:rsidRPr="00C13A5F" w:rsidRDefault="00A81C77">
            <w:pPr>
              <w:pStyle w:val="Infotext"/>
              <w:spacing w:after="240"/>
              <w:rPr>
                <w:rFonts w:ascii="Arial Black" w:hAnsi="Arial Black" w:cs="Arial"/>
              </w:rPr>
            </w:pPr>
            <w:r w:rsidRPr="00C13A5F">
              <w:rPr>
                <w:rFonts w:ascii="Arial Black" w:hAnsi="Arial Black" w:cs="Arial"/>
              </w:rPr>
              <w:t>Enclosures:</w:t>
            </w:r>
          </w:p>
        </w:tc>
        <w:tc>
          <w:tcPr>
            <w:tcW w:w="4912" w:type="dxa"/>
          </w:tcPr>
          <w:p w14:paraId="2B048074" w14:textId="5E69F872" w:rsidR="006E4A75" w:rsidRPr="005E158A" w:rsidRDefault="009526FD" w:rsidP="000A08E7">
            <w:pPr>
              <w:pStyle w:val="Infotext"/>
              <w:rPr>
                <w:rFonts w:cs="Arial"/>
                <w:color w:val="0070C0"/>
                <w:sz w:val="24"/>
                <w:szCs w:val="24"/>
              </w:rPr>
            </w:pPr>
            <w:r w:rsidRPr="00F516B7">
              <w:rPr>
                <w:rFonts w:cs="Arial"/>
                <w:sz w:val="24"/>
                <w:szCs w:val="24"/>
              </w:rPr>
              <w:t xml:space="preserve">Appendix 1 – </w:t>
            </w:r>
            <w:r w:rsidR="00DA393D">
              <w:rPr>
                <w:rFonts w:cs="Arial"/>
                <w:sz w:val="24"/>
                <w:szCs w:val="24"/>
              </w:rPr>
              <w:t>Harrow Electric Vehicle</w:t>
            </w:r>
            <w:r w:rsidR="000B30E7">
              <w:rPr>
                <w:rFonts w:cs="Arial"/>
                <w:sz w:val="24"/>
                <w:szCs w:val="24"/>
              </w:rPr>
              <w:t>s</w:t>
            </w:r>
            <w:r w:rsidR="00DA393D">
              <w:rPr>
                <w:rFonts w:cs="Arial"/>
                <w:sz w:val="24"/>
                <w:szCs w:val="24"/>
              </w:rPr>
              <w:t xml:space="preserve"> (EV) </w:t>
            </w:r>
            <w:r w:rsidR="000A08E7">
              <w:rPr>
                <w:rFonts w:cs="Arial"/>
                <w:sz w:val="24"/>
                <w:szCs w:val="24"/>
              </w:rPr>
              <w:t>Strat</w:t>
            </w:r>
            <w:r w:rsidR="00F11302">
              <w:rPr>
                <w:rFonts w:cs="Arial"/>
                <w:sz w:val="24"/>
                <w:szCs w:val="24"/>
              </w:rPr>
              <w:t>egy</w:t>
            </w:r>
            <w:r w:rsidR="000B30E7">
              <w:rPr>
                <w:rFonts w:cs="Arial"/>
                <w:sz w:val="24"/>
                <w:szCs w:val="24"/>
              </w:rPr>
              <w:t xml:space="preserve"> 20</w:t>
            </w:r>
            <w:r w:rsidR="003E3C94">
              <w:rPr>
                <w:rFonts w:cs="Arial"/>
                <w:sz w:val="24"/>
                <w:szCs w:val="24"/>
              </w:rPr>
              <w:t>38</w:t>
            </w:r>
          </w:p>
          <w:p w14:paraId="3EFA0BBA" w14:textId="77777777" w:rsidR="0015350F" w:rsidRPr="005E3A10" w:rsidRDefault="0015350F">
            <w:pPr>
              <w:pStyle w:val="Infotext"/>
              <w:rPr>
                <w:rFonts w:cs="Arial"/>
                <w:sz w:val="24"/>
                <w:szCs w:val="24"/>
              </w:rPr>
            </w:pPr>
          </w:p>
          <w:p w14:paraId="6C616406" w14:textId="4572BDD4" w:rsidR="00A81C77" w:rsidRPr="005E3A10" w:rsidRDefault="00A81C77">
            <w:pPr>
              <w:pStyle w:val="Infotext"/>
              <w:rPr>
                <w:color w:val="FF0000"/>
                <w:sz w:val="24"/>
                <w:szCs w:val="24"/>
              </w:rPr>
            </w:pPr>
          </w:p>
        </w:tc>
      </w:tr>
    </w:tbl>
    <w:p w14:paraId="191384BC" w14:textId="65258C6B" w:rsidR="00A81C77" w:rsidRDefault="00A81C77" w:rsidP="00A81C77">
      <w:pPr>
        <w:spacing w:after="480"/>
        <w:rPr>
          <w:rFonts w:cs="Arial"/>
        </w:rPr>
      </w:pPr>
    </w:p>
    <w:p w14:paraId="6C88D303" w14:textId="58141ABE" w:rsidR="007805BE" w:rsidRDefault="007805BE" w:rsidP="00A81C77">
      <w:pPr>
        <w:spacing w:after="480"/>
        <w:rPr>
          <w:rFonts w:cs="Arial"/>
        </w:rPr>
      </w:pPr>
    </w:p>
    <w:p w14:paraId="1652C038" w14:textId="7FA4EBF9" w:rsidR="007805BE" w:rsidRDefault="007805BE" w:rsidP="00A81C77">
      <w:pPr>
        <w:spacing w:after="480"/>
        <w:rPr>
          <w:rFonts w:cs="Arial"/>
        </w:rPr>
      </w:pPr>
    </w:p>
    <w:p w14:paraId="74FDA22B" w14:textId="41434F6C" w:rsidR="007805BE" w:rsidRDefault="007805BE" w:rsidP="00A81C77">
      <w:pPr>
        <w:spacing w:after="48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A81C77" w14:paraId="21B88403" w14:textId="77777777" w:rsidTr="009A279F">
        <w:tc>
          <w:tcPr>
            <w:tcW w:w="8309" w:type="dxa"/>
            <w:tcBorders>
              <w:top w:val="nil"/>
              <w:left w:val="nil"/>
              <w:right w:val="nil"/>
            </w:tcBorders>
          </w:tcPr>
          <w:p w14:paraId="60FDCECF" w14:textId="77777777" w:rsidR="009A279F" w:rsidRDefault="009A279F" w:rsidP="00820F4A">
            <w:pPr>
              <w:pStyle w:val="Heading2"/>
              <w:spacing w:after="240"/>
            </w:pPr>
          </w:p>
          <w:p w14:paraId="1CD7E6A8" w14:textId="2BC28890" w:rsidR="00A81C77" w:rsidRDefault="00A81C77" w:rsidP="00820F4A">
            <w:pPr>
              <w:pStyle w:val="Heading2"/>
              <w:spacing w:after="240"/>
            </w:pPr>
            <w:r>
              <w:lastRenderedPageBreak/>
              <w:t>Section 1 – Summary and Recommendations</w:t>
            </w:r>
          </w:p>
        </w:tc>
      </w:tr>
      <w:tr w:rsidR="00A81C77" w14:paraId="7A8B6554" w14:textId="77777777" w:rsidTr="009A279F">
        <w:tc>
          <w:tcPr>
            <w:tcW w:w="8309" w:type="dxa"/>
          </w:tcPr>
          <w:p w14:paraId="60D3583D" w14:textId="3CC2D7BC" w:rsidR="00155730" w:rsidRDefault="00155730" w:rsidP="00155730">
            <w:pPr>
              <w:pStyle w:val="Default"/>
              <w:rPr>
                <w:sz w:val="23"/>
                <w:szCs w:val="23"/>
              </w:rPr>
            </w:pPr>
            <w:r>
              <w:rPr>
                <w:sz w:val="23"/>
                <w:szCs w:val="23"/>
              </w:rPr>
              <w:lastRenderedPageBreak/>
              <w:t xml:space="preserve">This report presents a draft </w:t>
            </w:r>
            <w:r w:rsidR="005068C2" w:rsidRPr="005068C2">
              <w:rPr>
                <w:sz w:val="23"/>
                <w:szCs w:val="23"/>
              </w:rPr>
              <w:t>Harrow Electric Vehicles (EV) Strategy 20</w:t>
            </w:r>
            <w:r w:rsidR="006E4325">
              <w:rPr>
                <w:sz w:val="23"/>
                <w:szCs w:val="23"/>
              </w:rPr>
              <w:t>38</w:t>
            </w:r>
            <w:r>
              <w:rPr>
                <w:sz w:val="23"/>
                <w:szCs w:val="23"/>
              </w:rPr>
              <w:t xml:space="preserve"> for approval</w:t>
            </w:r>
            <w:r w:rsidR="00C65689">
              <w:rPr>
                <w:sz w:val="23"/>
                <w:szCs w:val="23"/>
              </w:rPr>
              <w:t>.</w:t>
            </w:r>
          </w:p>
          <w:p w14:paraId="063225DE" w14:textId="77777777" w:rsidR="0084637E" w:rsidRDefault="0084637E" w:rsidP="00155730">
            <w:pPr>
              <w:pStyle w:val="Default"/>
              <w:rPr>
                <w:sz w:val="23"/>
                <w:szCs w:val="23"/>
              </w:rPr>
            </w:pPr>
          </w:p>
          <w:p w14:paraId="26ED01FD" w14:textId="77777777" w:rsidR="00155730" w:rsidRDefault="00155730" w:rsidP="00155730">
            <w:pPr>
              <w:pStyle w:val="Default"/>
              <w:rPr>
                <w:sz w:val="28"/>
                <w:szCs w:val="28"/>
              </w:rPr>
            </w:pPr>
            <w:r>
              <w:rPr>
                <w:b/>
                <w:bCs/>
                <w:sz w:val="28"/>
                <w:szCs w:val="28"/>
              </w:rPr>
              <w:t xml:space="preserve">Recommendations: </w:t>
            </w:r>
          </w:p>
          <w:p w14:paraId="2B46A320" w14:textId="77777777" w:rsidR="00CE76EE" w:rsidRDefault="00155730" w:rsidP="00155730">
            <w:pPr>
              <w:pStyle w:val="Default"/>
              <w:rPr>
                <w:sz w:val="23"/>
                <w:szCs w:val="23"/>
              </w:rPr>
            </w:pPr>
            <w:r>
              <w:rPr>
                <w:sz w:val="23"/>
                <w:szCs w:val="23"/>
              </w:rPr>
              <w:t>Cabinet is requested to:</w:t>
            </w:r>
          </w:p>
          <w:p w14:paraId="6D721AFA" w14:textId="52A8A820" w:rsidR="00155730" w:rsidRDefault="00155730" w:rsidP="00155730">
            <w:pPr>
              <w:pStyle w:val="Default"/>
              <w:rPr>
                <w:sz w:val="23"/>
                <w:szCs w:val="23"/>
              </w:rPr>
            </w:pPr>
            <w:r>
              <w:rPr>
                <w:sz w:val="23"/>
                <w:szCs w:val="23"/>
              </w:rPr>
              <w:t xml:space="preserve"> </w:t>
            </w:r>
          </w:p>
          <w:p w14:paraId="4D81E161" w14:textId="7AD31D43" w:rsidR="00155730" w:rsidRDefault="00155730" w:rsidP="00401F3C">
            <w:pPr>
              <w:pStyle w:val="Default"/>
              <w:numPr>
                <w:ilvl w:val="0"/>
                <w:numId w:val="43"/>
              </w:numPr>
              <w:rPr>
                <w:sz w:val="23"/>
                <w:szCs w:val="23"/>
              </w:rPr>
            </w:pPr>
            <w:r>
              <w:rPr>
                <w:sz w:val="23"/>
                <w:szCs w:val="23"/>
              </w:rPr>
              <w:t xml:space="preserve">Approve the attached draft </w:t>
            </w:r>
            <w:r w:rsidR="002F0949">
              <w:rPr>
                <w:sz w:val="23"/>
                <w:szCs w:val="23"/>
              </w:rPr>
              <w:t xml:space="preserve">Electric </w:t>
            </w:r>
            <w:r w:rsidR="00DE5F66">
              <w:rPr>
                <w:sz w:val="23"/>
                <w:szCs w:val="23"/>
              </w:rPr>
              <w:t xml:space="preserve">Vehicles </w:t>
            </w:r>
            <w:r>
              <w:rPr>
                <w:sz w:val="23"/>
                <w:szCs w:val="23"/>
              </w:rPr>
              <w:t>Strategy</w:t>
            </w:r>
            <w:r w:rsidR="00615311">
              <w:rPr>
                <w:sz w:val="23"/>
                <w:szCs w:val="23"/>
              </w:rPr>
              <w:t>.</w:t>
            </w:r>
          </w:p>
          <w:p w14:paraId="02BD057B" w14:textId="77777777" w:rsidR="00397FCB" w:rsidRDefault="00397FCB" w:rsidP="00397FCB">
            <w:pPr>
              <w:pStyle w:val="Default"/>
              <w:ind w:left="720"/>
              <w:rPr>
                <w:sz w:val="23"/>
                <w:szCs w:val="23"/>
              </w:rPr>
            </w:pPr>
          </w:p>
          <w:p w14:paraId="065B352C" w14:textId="027705E3" w:rsidR="00401F3C" w:rsidRPr="00397FCB" w:rsidRDefault="00401F3C" w:rsidP="00CC47A7">
            <w:pPr>
              <w:pStyle w:val="ListParagraph"/>
              <w:numPr>
                <w:ilvl w:val="0"/>
                <w:numId w:val="43"/>
              </w:numPr>
              <w:jc w:val="both"/>
              <w:rPr>
                <w:sz w:val="23"/>
                <w:szCs w:val="23"/>
              </w:rPr>
            </w:pPr>
            <w:r>
              <w:t xml:space="preserve">Delegate authority to the Director of Environment, </w:t>
            </w:r>
            <w:r w:rsidR="009A279F">
              <w:t xml:space="preserve">following </w:t>
            </w:r>
            <w:r>
              <w:t xml:space="preserve">consultation with the </w:t>
            </w:r>
            <w:r w:rsidR="009A279F" w:rsidRPr="009A279F">
              <w:t>Portfolio Holder for Highways, Infrastructure and Community Safety</w:t>
            </w:r>
            <w:r>
              <w:t>,</w:t>
            </w:r>
            <w:r w:rsidR="00397FCB">
              <w:t xml:space="preserve"> to make </w:t>
            </w:r>
            <w:r w:rsidR="00297662">
              <w:t xml:space="preserve">minor changes </w:t>
            </w:r>
            <w:r w:rsidR="00FA4E1E">
              <w:t xml:space="preserve">to the </w:t>
            </w:r>
            <w:r w:rsidR="003A54D1">
              <w:t xml:space="preserve">Electric Vehicles Strategy </w:t>
            </w:r>
            <w:r w:rsidR="00297662">
              <w:t>as and when necessary.</w:t>
            </w:r>
          </w:p>
          <w:p w14:paraId="29E1216C" w14:textId="77777777" w:rsidR="00615311" w:rsidRDefault="00615311" w:rsidP="00155730">
            <w:pPr>
              <w:pStyle w:val="Default"/>
              <w:rPr>
                <w:sz w:val="23"/>
                <w:szCs w:val="23"/>
              </w:rPr>
            </w:pPr>
          </w:p>
          <w:p w14:paraId="3F1B7729" w14:textId="77777777" w:rsidR="00155730" w:rsidRDefault="00155730" w:rsidP="00155730">
            <w:pPr>
              <w:pStyle w:val="Default"/>
              <w:rPr>
                <w:sz w:val="28"/>
                <w:szCs w:val="28"/>
              </w:rPr>
            </w:pPr>
            <w:r>
              <w:rPr>
                <w:b/>
                <w:bCs/>
                <w:sz w:val="28"/>
                <w:szCs w:val="28"/>
              </w:rPr>
              <w:t xml:space="preserve">Reason: (for recommendations) </w:t>
            </w:r>
          </w:p>
          <w:p w14:paraId="494AD90F" w14:textId="4208E70F" w:rsidR="0084637E" w:rsidRDefault="00155730" w:rsidP="00155730">
            <w:pPr>
              <w:rPr>
                <w:sz w:val="23"/>
                <w:szCs w:val="23"/>
              </w:rPr>
            </w:pPr>
            <w:r>
              <w:rPr>
                <w:sz w:val="23"/>
                <w:szCs w:val="23"/>
              </w:rPr>
              <w:t>To provide a strategic framework for the Council and the Borough to</w:t>
            </w:r>
            <w:r w:rsidR="00CF0265" w:rsidRPr="00F516B7">
              <w:t xml:space="preserve"> enable the expansion of electric vehicle </w:t>
            </w:r>
            <w:r w:rsidR="00617C2D">
              <w:t xml:space="preserve">(EV) </w:t>
            </w:r>
            <w:r w:rsidR="00CF0265" w:rsidRPr="00F516B7">
              <w:t xml:space="preserve">charging infrastructure on public assets for the benefit of Harrow residents, whilst contributing to </w:t>
            </w:r>
            <w:r w:rsidR="0040365D">
              <w:t xml:space="preserve">the </w:t>
            </w:r>
            <w:r w:rsidR="00CF0265" w:rsidRPr="00F516B7">
              <w:t>decarbonisation of transport in Harrow</w:t>
            </w:r>
            <w:r w:rsidR="00CF0265">
              <w:t>.</w:t>
            </w:r>
          </w:p>
          <w:p w14:paraId="40363491" w14:textId="45B1AE6D" w:rsidR="00A81C77" w:rsidRDefault="00A81C77" w:rsidP="006C7127"/>
        </w:tc>
      </w:tr>
    </w:tbl>
    <w:p w14:paraId="639F4663" w14:textId="65C801FB" w:rsidR="00217383" w:rsidRPr="00217383" w:rsidRDefault="00A81C77" w:rsidP="00217383">
      <w:pPr>
        <w:pStyle w:val="Heading2"/>
        <w:spacing w:before="480"/>
      </w:pPr>
      <w:r>
        <w:t>Section 2 – Report</w:t>
      </w:r>
    </w:p>
    <w:p w14:paraId="0406E429" w14:textId="57FB8077" w:rsidR="00BA659E" w:rsidRDefault="00A81C77" w:rsidP="0041013A">
      <w:pPr>
        <w:pStyle w:val="Heading3"/>
        <w:spacing w:before="240"/>
      </w:pPr>
      <w:r>
        <w:t xml:space="preserve">Options </w:t>
      </w:r>
      <w:proofErr w:type="gramStart"/>
      <w:r>
        <w:t>considered</w:t>
      </w:r>
      <w:proofErr w:type="gramEnd"/>
      <w:r>
        <w:t xml:space="preserve">  </w:t>
      </w:r>
    </w:p>
    <w:p w14:paraId="3F45F607" w14:textId="77777777" w:rsidR="00BA7722" w:rsidRDefault="00BA7722" w:rsidP="0041013A">
      <w:pPr>
        <w:jc w:val="both"/>
      </w:pPr>
    </w:p>
    <w:p w14:paraId="07CA4B12" w14:textId="7A55688C" w:rsidR="00330828" w:rsidRPr="002B24B2" w:rsidRDefault="00BA7722" w:rsidP="0041013A">
      <w:pPr>
        <w:pStyle w:val="ListParagraph"/>
        <w:numPr>
          <w:ilvl w:val="0"/>
          <w:numId w:val="39"/>
        </w:numPr>
        <w:jc w:val="both"/>
        <w:rPr>
          <w:rFonts w:cs="Arial"/>
          <w:szCs w:val="24"/>
        </w:rPr>
      </w:pPr>
      <w:r w:rsidRPr="002B24B2">
        <w:rPr>
          <w:sz w:val="23"/>
          <w:szCs w:val="23"/>
        </w:rPr>
        <w:t>Do nothing: this option is not recommended</w:t>
      </w:r>
      <w:r w:rsidR="00330828" w:rsidRPr="002B24B2">
        <w:rPr>
          <w:sz w:val="23"/>
          <w:szCs w:val="23"/>
        </w:rPr>
        <w:t xml:space="preserve"> as this </w:t>
      </w:r>
      <w:r w:rsidR="00330828" w:rsidRPr="002B24B2">
        <w:rPr>
          <w:rFonts w:cs="Arial"/>
          <w:szCs w:val="24"/>
        </w:rPr>
        <w:t>will not advance the Council’s</w:t>
      </w:r>
      <w:r w:rsidR="00AF7D06" w:rsidRPr="002B24B2">
        <w:rPr>
          <w:rFonts w:cs="Arial"/>
          <w:szCs w:val="24"/>
        </w:rPr>
        <w:t xml:space="preserve"> and nation</w:t>
      </w:r>
      <w:r w:rsidR="007668B4" w:rsidRPr="002B24B2">
        <w:rPr>
          <w:rFonts w:cs="Arial"/>
          <w:szCs w:val="24"/>
        </w:rPr>
        <w:t>al</w:t>
      </w:r>
      <w:r w:rsidR="00AF7D06" w:rsidRPr="002B24B2">
        <w:rPr>
          <w:rFonts w:cs="Arial"/>
          <w:szCs w:val="24"/>
        </w:rPr>
        <w:t xml:space="preserve"> government’s</w:t>
      </w:r>
      <w:r w:rsidR="00296083" w:rsidRPr="002B24B2">
        <w:rPr>
          <w:rFonts w:cs="Arial"/>
          <w:szCs w:val="24"/>
        </w:rPr>
        <w:t xml:space="preserve"> </w:t>
      </w:r>
      <w:r w:rsidR="00330828" w:rsidRPr="002B24B2">
        <w:rPr>
          <w:rFonts w:cs="Arial"/>
          <w:szCs w:val="24"/>
        </w:rPr>
        <w:t xml:space="preserve">decarbonisation aims and will fail to support residents in the transition to electric vehicles. </w:t>
      </w:r>
    </w:p>
    <w:p w14:paraId="5537FC0C" w14:textId="77777777" w:rsidR="00610F90" w:rsidRDefault="00610F90" w:rsidP="0041013A">
      <w:pPr>
        <w:pStyle w:val="Default"/>
        <w:jc w:val="both"/>
        <w:rPr>
          <w:sz w:val="23"/>
          <w:szCs w:val="23"/>
        </w:rPr>
      </w:pPr>
    </w:p>
    <w:p w14:paraId="2ED81783" w14:textId="3B60AF2E" w:rsidR="003544B2" w:rsidRPr="007805BE" w:rsidRDefault="00BA7722" w:rsidP="0041013A">
      <w:pPr>
        <w:pStyle w:val="Default"/>
        <w:numPr>
          <w:ilvl w:val="0"/>
          <w:numId w:val="39"/>
        </w:numPr>
        <w:jc w:val="both"/>
      </w:pPr>
      <w:r w:rsidRPr="0041013A">
        <w:t xml:space="preserve">Agree the draft </w:t>
      </w:r>
      <w:r w:rsidR="007668B4" w:rsidRPr="0041013A">
        <w:t>Harrow Electric Vehicles (EV) Strategy 20</w:t>
      </w:r>
      <w:r w:rsidR="00637F61">
        <w:t>38</w:t>
      </w:r>
      <w:r w:rsidRPr="0041013A">
        <w:t xml:space="preserve"> to provide a long-term strategic framework for action</w:t>
      </w:r>
      <w:r w:rsidR="00296083" w:rsidRPr="0041013A">
        <w:t xml:space="preserve"> </w:t>
      </w:r>
      <w:r w:rsidR="00BD779E" w:rsidRPr="0041013A">
        <w:t>within the borough</w:t>
      </w:r>
      <w:r w:rsidRPr="0041013A">
        <w:t xml:space="preserve">. </w:t>
      </w:r>
    </w:p>
    <w:p w14:paraId="46DF134F" w14:textId="486C6443" w:rsidR="002C33F3" w:rsidRPr="00710CF5" w:rsidRDefault="003544B2" w:rsidP="0041013A">
      <w:pPr>
        <w:pStyle w:val="Heading2"/>
        <w:spacing w:before="240"/>
        <w:jc w:val="both"/>
        <w:rPr>
          <w:rFonts w:ascii="Arial" w:hAnsi="Arial"/>
          <w:sz w:val="28"/>
          <w:szCs w:val="28"/>
        </w:rPr>
      </w:pPr>
      <w:r w:rsidRPr="004519BA">
        <w:rPr>
          <w:rFonts w:ascii="Arial" w:hAnsi="Arial"/>
          <w:sz w:val="28"/>
          <w:szCs w:val="28"/>
        </w:rPr>
        <w:t>Background</w:t>
      </w:r>
    </w:p>
    <w:p w14:paraId="1461BDBB" w14:textId="77777777" w:rsidR="002C33F3" w:rsidRDefault="002C33F3" w:rsidP="0041013A">
      <w:pPr>
        <w:pStyle w:val="Default"/>
        <w:jc w:val="both"/>
      </w:pPr>
    </w:p>
    <w:p w14:paraId="04B8682F" w14:textId="77777777" w:rsidR="002C33F3" w:rsidRPr="0041013A" w:rsidRDefault="002C33F3" w:rsidP="0041013A">
      <w:pPr>
        <w:pStyle w:val="Default"/>
        <w:spacing w:after="182"/>
        <w:jc w:val="both"/>
      </w:pPr>
      <w:r w:rsidRPr="0041013A">
        <w:rPr>
          <w:color w:val="161B20"/>
        </w:rPr>
        <w:t xml:space="preserve">The London Borough of Harrow wants to encourage the uptake of ultra-low emission vehicles </w:t>
      </w:r>
      <w:proofErr w:type="gramStart"/>
      <w:r w:rsidRPr="0041013A">
        <w:rPr>
          <w:color w:val="161B20"/>
        </w:rPr>
        <w:t>through the use of</w:t>
      </w:r>
      <w:proofErr w:type="gramEnd"/>
      <w:r w:rsidRPr="0041013A">
        <w:rPr>
          <w:color w:val="161B20"/>
        </w:rPr>
        <w:t xml:space="preserve"> promotional activities and the introduction of EV infrastructure. The council aims to improve air quality, reduce traffic noise and reduce CO2 emissions throughout the borough by expanding the availability of electric vehicle charging facilities to support the transition to ultra-low emission vehicles. </w:t>
      </w:r>
    </w:p>
    <w:p w14:paraId="21877A91" w14:textId="072D3F59" w:rsidR="006D70E3" w:rsidRDefault="002C33F3" w:rsidP="00637F61">
      <w:pPr>
        <w:pStyle w:val="Default"/>
        <w:spacing w:after="182"/>
        <w:jc w:val="both"/>
        <w:rPr>
          <w:color w:val="161B20"/>
        </w:rPr>
      </w:pPr>
      <w:r w:rsidRPr="0041013A">
        <w:rPr>
          <w:color w:val="161B20"/>
        </w:rPr>
        <w:t xml:space="preserve">Until 2023, </w:t>
      </w:r>
      <w:r w:rsidR="0024289C" w:rsidRPr="0041013A">
        <w:rPr>
          <w:color w:val="161B20"/>
        </w:rPr>
        <w:t xml:space="preserve">the </w:t>
      </w:r>
      <w:r w:rsidRPr="0041013A">
        <w:rPr>
          <w:color w:val="161B20"/>
        </w:rPr>
        <w:t xml:space="preserve">Council’s focus has largely been providing chargepoints in locations requested by residents and/or businesses. However, </w:t>
      </w:r>
      <w:r w:rsidR="009652FF" w:rsidRPr="0041013A">
        <w:rPr>
          <w:color w:val="161B20"/>
        </w:rPr>
        <w:t xml:space="preserve">there is </w:t>
      </w:r>
      <w:r w:rsidR="00210644" w:rsidRPr="0041013A">
        <w:rPr>
          <w:color w:val="161B20"/>
        </w:rPr>
        <w:t xml:space="preserve">now </w:t>
      </w:r>
      <w:r w:rsidR="009652FF" w:rsidRPr="0041013A">
        <w:rPr>
          <w:color w:val="161B20"/>
        </w:rPr>
        <w:t xml:space="preserve">a requirement </w:t>
      </w:r>
      <w:r w:rsidR="00FD043B" w:rsidRPr="0041013A">
        <w:rPr>
          <w:color w:val="161B20"/>
        </w:rPr>
        <w:t xml:space="preserve">for a </w:t>
      </w:r>
      <w:r w:rsidR="00C90618" w:rsidRPr="0041013A">
        <w:rPr>
          <w:color w:val="161B20"/>
        </w:rPr>
        <w:t>longer-term</w:t>
      </w:r>
      <w:r w:rsidR="00543E49" w:rsidRPr="0041013A">
        <w:rPr>
          <w:color w:val="161B20"/>
        </w:rPr>
        <w:t xml:space="preserve"> </w:t>
      </w:r>
      <w:r w:rsidR="009652FF" w:rsidRPr="0041013A">
        <w:rPr>
          <w:color w:val="161B20"/>
        </w:rPr>
        <w:t xml:space="preserve">Strategy </w:t>
      </w:r>
      <w:r w:rsidR="00FD043B" w:rsidRPr="0041013A">
        <w:rPr>
          <w:color w:val="161B20"/>
        </w:rPr>
        <w:t>that</w:t>
      </w:r>
      <w:r w:rsidR="00543E49" w:rsidRPr="0041013A">
        <w:rPr>
          <w:color w:val="161B20"/>
        </w:rPr>
        <w:t xml:space="preserve"> </w:t>
      </w:r>
      <w:r w:rsidRPr="0041013A">
        <w:rPr>
          <w:color w:val="161B20"/>
        </w:rPr>
        <w:t xml:space="preserve">aims to </w:t>
      </w:r>
      <w:r w:rsidR="00FD043B" w:rsidRPr="0041013A">
        <w:rPr>
          <w:color w:val="161B20"/>
        </w:rPr>
        <w:t>achi</w:t>
      </w:r>
      <w:r w:rsidR="00392943" w:rsidRPr="0041013A">
        <w:rPr>
          <w:color w:val="161B20"/>
        </w:rPr>
        <w:t>e</w:t>
      </w:r>
      <w:r w:rsidR="00FD043B" w:rsidRPr="0041013A">
        <w:rPr>
          <w:color w:val="161B20"/>
        </w:rPr>
        <w:t xml:space="preserve">ve a more ambitious </w:t>
      </w:r>
      <w:r w:rsidRPr="0041013A">
        <w:rPr>
          <w:color w:val="161B20"/>
        </w:rPr>
        <w:t xml:space="preserve">roll out </w:t>
      </w:r>
      <w:r w:rsidR="00E250D5" w:rsidRPr="0041013A">
        <w:rPr>
          <w:color w:val="161B20"/>
        </w:rPr>
        <w:t>of publicly</w:t>
      </w:r>
      <w:r w:rsidR="00F755FA" w:rsidRPr="0041013A">
        <w:rPr>
          <w:color w:val="161B20"/>
        </w:rPr>
        <w:t xml:space="preserve"> accessible </w:t>
      </w:r>
      <w:r w:rsidRPr="0041013A">
        <w:rPr>
          <w:color w:val="161B20"/>
        </w:rPr>
        <w:t xml:space="preserve">chargepoints </w:t>
      </w:r>
      <w:r w:rsidR="000B0535" w:rsidRPr="0041013A">
        <w:rPr>
          <w:color w:val="161B20"/>
        </w:rPr>
        <w:t>at scale</w:t>
      </w:r>
      <w:r w:rsidR="006154F0" w:rsidRPr="0041013A">
        <w:rPr>
          <w:color w:val="161B20"/>
        </w:rPr>
        <w:t>,</w:t>
      </w:r>
      <w:r w:rsidR="000B0535" w:rsidRPr="0041013A">
        <w:rPr>
          <w:color w:val="161B20"/>
        </w:rPr>
        <w:t xml:space="preserve"> based </w:t>
      </w:r>
      <w:r w:rsidR="00AC1152" w:rsidRPr="0041013A">
        <w:rPr>
          <w:color w:val="161B20"/>
        </w:rPr>
        <w:t>upon underlying</w:t>
      </w:r>
      <w:r w:rsidRPr="0041013A">
        <w:rPr>
          <w:color w:val="161B20"/>
        </w:rPr>
        <w:t xml:space="preserve"> demand potential, alongside rapid charging hubs on the strategic road network and within town centres. </w:t>
      </w:r>
    </w:p>
    <w:p w14:paraId="6DE3DF51" w14:textId="77777777" w:rsidR="007805BE" w:rsidRPr="00637F61" w:rsidRDefault="007805BE" w:rsidP="00637F61">
      <w:pPr>
        <w:pStyle w:val="Default"/>
        <w:spacing w:after="182"/>
        <w:jc w:val="both"/>
        <w:rPr>
          <w:color w:val="161B20"/>
        </w:rPr>
      </w:pPr>
    </w:p>
    <w:p w14:paraId="2A3ED15D" w14:textId="77777777" w:rsidR="00954049" w:rsidRDefault="00954049" w:rsidP="0041013A">
      <w:pPr>
        <w:pStyle w:val="Heading2"/>
        <w:spacing w:before="240"/>
        <w:jc w:val="both"/>
        <w:rPr>
          <w:rFonts w:ascii="Arial" w:hAnsi="Arial"/>
          <w:sz w:val="28"/>
          <w:szCs w:val="28"/>
        </w:rPr>
      </w:pPr>
      <w:r w:rsidRPr="004519BA">
        <w:rPr>
          <w:rFonts w:ascii="Arial" w:hAnsi="Arial"/>
          <w:sz w:val="28"/>
          <w:szCs w:val="28"/>
        </w:rPr>
        <w:lastRenderedPageBreak/>
        <w:t>Purpose of the Strategy</w:t>
      </w:r>
    </w:p>
    <w:p w14:paraId="46F2A850" w14:textId="77777777" w:rsidR="00954049" w:rsidRDefault="00954049" w:rsidP="0041013A">
      <w:pPr>
        <w:pStyle w:val="Default"/>
        <w:jc w:val="both"/>
      </w:pPr>
    </w:p>
    <w:p w14:paraId="59CC6BB9" w14:textId="38601EDF" w:rsidR="005E41CE" w:rsidRPr="0041013A" w:rsidRDefault="00954049" w:rsidP="0041013A">
      <w:pPr>
        <w:pStyle w:val="Default"/>
        <w:spacing w:after="180"/>
        <w:jc w:val="both"/>
        <w:rPr>
          <w:color w:val="161B20"/>
        </w:rPr>
      </w:pPr>
      <w:r w:rsidRPr="0041013A">
        <w:rPr>
          <w:color w:val="161B20"/>
        </w:rPr>
        <w:t xml:space="preserve">The UK Government have prohibited the sale of new diesel and petrol-powered vehicles by </w:t>
      </w:r>
      <w:r w:rsidR="006154F0" w:rsidRPr="0041013A">
        <w:rPr>
          <w:color w:val="161B20"/>
        </w:rPr>
        <w:t>20</w:t>
      </w:r>
      <w:r w:rsidR="00064C90" w:rsidRPr="0041013A">
        <w:rPr>
          <w:color w:val="161B20"/>
        </w:rPr>
        <w:t>35</w:t>
      </w:r>
      <w:r w:rsidR="005E41CE" w:rsidRPr="0041013A">
        <w:rPr>
          <w:color w:val="161B20"/>
        </w:rPr>
        <w:t>, with an interim requirement that at least 80% of new cars and 70% of new vans are electric by 2030.</w:t>
      </w:r>
    </w:p>
    <w:p w14:paraId="662FE27F" w14:textId="521E3202" w:rsidR="00954049" w:rsidRPr="0041013A" w:rsidRDefault="003356B1" w:rsidP="0041013A">
      <w:pPr>
        <w:pStyle w:val="Default"/>
        <w:spacing w:after="180"/>
        <w:jc w:val="both"/>
      </w:pPr>
      <w:r w:rsidRPr="0041013A">
        <w:rPr>
          <w:color w:val="161B20"/>
        </w:rPr>
        <w:t>I</w:t>
      </w:r>
      <w:r w:rsidR="00954049" w:rsidRPr="0041013A">
        <w:rPr>
          <w:color w:val="161B20"/>
        </w:rPr>
        <w:t>n mandating the adoption of electric vehicle (EV) and other alternative fuel technologies to decarbonise the transport system</w:t>
      </w:r>
      <w:r w:rsidR="001728E1" w:rsidRPr="0041013A">
        <w:rPr>
          <w:color w:val="161B20"/>
        </w:rPr>
        <w:t xml:space="preserve">, the UK government acknowledge the </w:t>
      </w:r>
      <w:r w:rsidR="00123604" w:rsidRPr="0041013A">
        <w:rPr>
          <w:color w:val="161B20"/>
        </w:rPr>
        <w:t xml:space="preserve">climate emergency and the requirement for comprehensive decarbonisation of the </w:t>
      </w:r>
      <w:r w:rsidR="00921C03" w:rsidRPr="0041013A">
        <w:rPr>
          <w:color w:val="161B20"/>
        </w:rPr>
        <w:t>transport</w:t>
      </w:r>
      <w:r w:rsidR="00123604" w:rsidRPr="0041013A">
        <w:rPr>
          <w:color w:val="161B20"/>
        </w:rPr>
        <w:t xml:space="preserve"> system</w:t>
      </w:r>
      <w:r w:rsidR="00921C03" w:rsidRPr="0041013A">
        <w:rPr>
          <w:color w:val="161B20"/>
        </w:rPr>
        <w:t>, in order</w:t>
      </w:r>
      <w:r w:rsidR="00123604" w:rsidRPr="0041013A">
        <w:rPr>
          <w:color w:val="161B20"/>
        </w:rPr>
        <w:t xml:space="preserve"> to support its overarching 2050 net zero target. </w:t>
      </w:r>
      <w:r w:rsidR="00954049" w:rsidRPr="0041013A">
        <w:rPr>
          <w:color w:val="161B20"/>
        </w:rPr>
        <w:t xml:space="preserve"> </w:t>
      </w:r>
    </w:p>
    <w:p w14:paraId="56110F62" w14:textId="70FA49AC" w:rsidR="00954049" w:rsidRPr="0041013A" w:rsidRDefault="00954049" w:rsidP="0041013A">
      <w:pPr>
        <w:pStyle w:val="Default"/>
        <w:jc w:val="both"/>
        <w:rPr>
          <w:color w:val="161B20"/>
        </w:rPr>
      </w:pPr>
      <w:r w:rsidRPr="0041013A">
        <w:rPr>
          <w:color w:val="161B20"/>
        </w:rPr>
        <w:t xml:space="preserve">The Office </w:t>
      </w:r>
      <w:r w:rsidR="00DC63A1">
        <w:rPr>
          <w:color w:val="161B20"/>
        </w:rPr>
        <w:t>for</w:t>
      </w:r>
      <w:r w:rsidRPr="0041013A">
        <w:rPr>
          <w:color w:val="161B20"/>
        </w:rPr>
        <w:t xml:space="preserve"> Zero Emission Vehicles (OZEV) has cited the pivotal role local authorities have in facilitating the uptake of EV and the development of publicly available EV </w:t>
      </w:r>
      <w:proofErr w:type="spellStart"/>
      <w:r w:rsidRPr="0041013A">
        <w:rPr>
          <w:color w:val="161B20"/>
        </w:rPr>
        <w:t>chargepoint</w:t>
      </w:r>
      <w:proofErr w:type="spellEnd"/>
      <w:r w:rsidRPr="0041013A">
        <w:rPr>
          <w:color w:val="161B20"/>
        </w:rPr>
        <w:t xml:space="preserve"> infrastructure. </w:t>
      </w:r>
    </w:p>
    <w:p w14:paraId="6787F5FF" w14:textId="77777777" w:rsidR="00954049" w:rsidRDefault="00954049" w:rsidP="0041013A">
      <w:pPr>
        <w:pStyle w:val="Default"/>
        <w:jc w:val="both"/>
        <w:rPr>
          <w:color w:val="161B20"/>
          <w:sz w:val="22"/>
          <w:szCs w:val="22"/>
        </w:rPr>
      </w:pPr>
    </w:p>
    <w:p w14:paraId="65F517D8" w14:textId="77777777" w:rsidR="00954049" w:rsidRPr="0041013A" w:rsidRDefault="00954049" w:rsidP="0041013A">
      <w:pPr>
        <w:pStyle w:val="Default"/>
        <w:jc w:val="both"/>
      </w:pPr>
      <w:r w:rsidRPr="0041013A">
        <w:rPr>
          <w:color w:val="161B20"/>
        </w:rPr>
        <w:t xml:space="preserve">To this end, Harrow’s EV strategy will facilitate the transition to EV and the provision of accessible and reliable EV chargepoints for everyone who lives, works and visits Harrow, while also meeting the long-term objectives of reducing overall car ownership and usage in the borough. </w:t>
      </w:r>
    </w:p>
    <w:p w14:paraId="06A09C01" w14:textId="77777777" w:rsidR="00954049" w:rsidRPr="002B24B2" w:rsidRDefault="00954049" w:rsidP="0041013A">
      <w:pPr>
        <w:pStyle w:val="Default"/>
        <w:jc w:val="both"/>
      </w:pPr>
    </w:p>
    <w:p w14:paraId="4A39D7F0" w14:textId="41221396" w:rsidR="00674234" w:rsidRPr="0041013A" w:rsidRDefault="00954049" w:rsidP="0041013A">
      <w:pPr>
        <w:pStyle w:val="Default"/>
        <w:spacing w:after="182"/>
        <w:jc w:val="both"/>
      </w:pPr>
      <w:r w:rsidRPr="0041013A">
        <w:rPr>
          <w:color w:val="161B20"/>
        </w:rPr>
        <w:t xml:space="preserve">The </w:t>
      </w:r>
      <w:r w:rsidR="00881248">
        <w:rPr>
          <w:color w:val="161B20"/>
        </w:rPr>
        <w:t>d</w:t>
      </w:r>
      <w:r w:rsidRPr="0041013A">
        <w:rPr>
          <w:color w:val="161B20"/>
        </w:rPr>
        <w:t>raft Strategy looks beyond the present day</w:t>
      </w:r>
      <w:r w:rsidR="001E3ED5">
        <w:rPr>
          <w:color w:val="161B20"/>
        </w:rPr>
        <w:t>,</w:t>
      </w:r>
      <w:r w:rsidRPr="0041013A">
        <w:rPr>
          <w:color w:val="161B20"/>
        </w:rPr>
        <w:t xml:space="preserve"> to the near future</w:t>
      </w:r>
      <w:r w:rsidR="001E3ED5">
        <w:rPr>
          <w:color w:val="161B20"/>
        </w:rPr>
        <w:t>,</w:t>
      </w:r>
      <w:r w:rsidRPr="0041013A">
        <w:rPr>
          <w:color w:val="161B20"/>
        </w:rPr>
        <w:t xml:space="preserve"> and up to </w:t>
      </w:r>
      <w:r w:rsidR="001E3ED5">
        <w:rPr>
          <w:color w:val="161B20"/>
        </w:rPr>
        <w:t>fifteen ye</w:t>
      </w:r>
      <w:r w:rsidR="00881248">
        <w:rPr>
          <w:color w:val="161B20"/>
        </w:rPr>
        <w:t>ars</w:t>
      </w:r>
      <w:r w:rsidR="00AA0461">
        <w:rPr>
          <w:color w:val="161B20"/>
        </w:rPr>
        <w:t xml:space="preserve"> until</w:t>
      </w:r>
      <w:r w:rsidR="00881248">
        <w:rPr>
          <w:color w:val="161B20"/>
        </w:rPr>
        <w:t xml:space="preserve"> </w:t>
      </w:r>
      <w:r w:rsidRPr="0041013A">
        <w:rPr>
          <w:color w:val="161B20"/>
        </w:rPr>
        <w:t>20</w:t>
      </w:r>
      <w:r w:rsidR="00AF068D">
        <w:rPr>
          <w:color w:val="161B20"/>
        </w:rPr>
        <w:t>38</w:t>
      </w:r>
      <w:r w:rsidRPr="0041013A">
        <w:rPr>
          <w:color w:val="161B20"/>
        </w:rPr>
        <w:t xml:space="preserve">. Given the highly evolving nature of the EV industry, </w:t>
      </w:r>
      <w:r w:rsidR="00DC671D" w:rsidRPr="0041013A">
        <w:rPr>
          <w:color w:val="161B20"/>
        </w:rPr>
        <w:t>it is recommended that</w:t>
      </w:r>
      <w:r w:rsidR="00167C6E">
        <w:rPr>
          <w:color w:val="161B20"/>
        </w:rPr>
        <w:t xml:space="preserve"> </w:t>
      </w:r>
      <w:r w:rsidR="00DC671D" w:rsidRPr="0041013A">
        <w:rPr>
          <w:color w:val="161B20"/>
        </w:rPr>
        <w:t xml:space="preserve">once </w:t>
      </w:r>
      <w:r w:rsidR="00AC1152" w:rsidRPr="0041013A">
        <w:rPr>
          <w:color w:val="161B20"/>
        </w:rPr>
        <w:t>approved, the</w:t>
      </w:r>
      <w:r w:rsidRPr="0041013A">
        <w:rPr>
          <w:color w:val="161B20"/>
        </w:rPr>
        <w:t xml:space="preserve"> planned actions in the Strategy </w:t>
      </w:r>
      <w:r w:rsidR="003804FC" w:rsidRPr="0041013A">
        <w:rPr>
          <w:color w:val="161B20"/>
        </w:rPr>
        <w:t xml:space="preserve">are revisited </w:t>
      </w:r>
      <w:r w:rsidR="007B7079" w:rsidRPr="0041013A">
        <w:rPr>
          <w:color w:val="161B20"/>
        </w:rPr>
        <w:t xml:space="preserve">no later </w:t>
      </w:r>
      <w:r w:rsidR="00167C6E" w:rsidRPr="0041013A">
        <w:rPr>
          <w:color w:val="161B20"/>
        </w:rPr>
        <w:t>than 2030</w:t>
      </w:r>
      <w:r w:rsidRPr="0041013A">
        <w:rPr>
          <w:color w:val="161B20"/>
        </w:rPr>
        <w:t xml:space="preserve">. </w:t>
      </w:r>
    </w:p>
    <w:p w14:paraId="6BFF6706" w14:textId="36B19D38" w:rsidR="00267592" w:rsidRPr="0041013A" w:rsidRDefault="00954049" w:rsidP="0041013A">
      <w:pPr>
        <w:pStyle w:val="Default"/>
        <w:spacing w:after="182"/>
        <w:jc w:val="both"/>
      </w:pPr>
      <w:r w:rsidRPr="0041013A">
        <w:rPr>
          <w:color w:val="161B20"/>
        </w:rPr>
        <w:t xml:space="preserve">The Strategy consists of the following chapters: </w:t>
      </w:r>
    </w:p>
    <w:p w14:paraId="72A85B46" w14:textId="77777777" w:rsidR="00267592" w:rsidRPr="00D763E9" w:rsidRDefault="00267592" w:rsidP="0041013A">
      <w:pPr>
        <w:jc w:val="both"/>
      </w:pPr>
      <w:r w:rsidRPr="00D763E9">
        <w:t>Chapter 1 – Background &amp; Purpose</w:t>
      </w:r>
    </w:p>
    <w:p w14:paraId="3FC289EF" w14:textId="77777777" w:rsidR="00267592" w:rsidRPr="00D763E9" w:rsidRDefault="00267592" w:rsidP="0041013A">
      <w:pPr>
        <w:jc w:val="both"/>
      </w:pPr>
      <w:r w:rsidRPr="00D763E9">
        <w:t>Chapter 2 – EV Market Overview</w:t>
      </w:r>
    </w:p>
    <w:p w14:paraId="25327942" w14:textId="77777777" w:rsidR="00267592" w:rsidRPr="00D763E9" w:rsidRDefault="00267592" w:rsidP="0041013A">
      <w:pPr>
        <w:jc w:val="both"/>
      </w:pPr>
      <w:r w:rsidRPr="00D763E9">
        <w:t>Chapter 3 – Vision &amp; Objectives</w:t>
      </w:r>
    </w:p>
    <w:p w14:paraId="1C628DE1" w14:textId="5E73D144" w:rsidR="00267592" w:rsidRPr="00D763E9" w:rsidRDefault="00267592" w:rsidP="0041013A">
      <w:pPr>
        <w:jc w:val="both"/>
      </w:pPr>
      <w:r w:rsidRPr="00D763E9">
        <w:t>Chapter 4 – Forecast for EVCPs</w:t>
      </w:r>
      <w:r w:rsidR="00A32E28">
        <w:t xml:space="preserve"> (</w:t>
      </w:r>
      <w:r w:rsidR="003D5C48">
        <w:t xml:space="preserve">Electric Vehicle Charge Points) </w:t>
      </w:r>
    </w:p>
    <w:p w14:paraId="0BE9AD5C" w14:textId="77777777" w:rsidR="00267592" w:rsidRPr="00D763E9" w:rsidRDefault="00267592" w:rsidP="0041013A">
      <w:pPr>
        <w:jc w:val="both"/>
      </w:pPr>
      <w:r w:rsidRPr="00D763E9">
        <w:t>Chapter 5 – EVCP Location Assessment</w:t>
      </w:r>
    </w:p>
    <w:p w14:paraId="1EAC53E0" w14:textId="77777777" w:rsidR="00267592" w:rsidRPr="00D763E9" w:rsidRDefault="00267592" w:rsidP="0041013A">
      <w:pPr>
        <w:jc w:val="both"/>
      </w:pPr>
      <w:r w:rsidRPr="00D763E9">
        <w:t>Chapter 6 – EVCP Delivery Model</w:t>
      </w:r>
    </w:p>
    <w:p w14:paraId="541A8DB8" w14:textId="77777777" w:rsidR="00267592" w:rsidRPr="00D763E9" w:rsidRDefault="00267592" w:rsidP="0041013A">
      <w:pPr>
        <w:jc w:val="both"/>
      </w:pPr>
      <w:r w:rsidRPr="00D763E9">
        <w:t>Chapter 7 – Action Plan</w:t>
      </w:r>
    </w:p>
    <w:p w14:paraId="67774032" w14:textId="77777777" w:rsidR="00CF4F6F" w:rsidRPr="00CF4F6F" w:rsidRDefault="00CF4F6F" w:rsidP="0041013A">
      <w:pPr>
        <w:jc w:val="both"/>
      </w:pPr>
    </w:p>
    <w:p w14:paraId="0C10424C" w14:textId="7241820B" w:rsidR="00092429" w:rsidRDefault="00092429" w:rsidP="0041013A">
      <w:pPr>
        <w:pStyle w:val="Heading2"/>
        <w:spacing w:before="240"/>
        <w:jc w:val="both"/>
        <w:rPr>
          <w:rFonts w:ascii="Arial" w:hAnsi="Arial"/>
          <w:sz w:val="28"/>
          <w:szCs w:val="28"/>
        </w:rPr>
      </w:pPr>
      <w:r>
        <w:rPr>
          <w:rFonts w:ascii="Arial" w:hAnsi="Arial"/>
          <w:sz w:val="28"/>
          <w:szCs w:val="28"/>
        </w:rPr>
        <w:t xml:space="preserve">Overview of </w:t>
      </w:r>
      <w:r w:rsidR="005224B4">
        <w:rPr>
          <w:rFonts w:ascii="Arial" w:hAnsi="Arial"/>
          <w:sz w:val="28"/>
          <w:szCs w:val="28"/>
        </w:rPr>
        <w:t xml:space="preserve">key </w:t>
      </w:r>
      <w:r w:rsidR="00EC2F60">
        <w:rPr>
          <w:rFonts w:ascii="Arial" w:hAnsi="Arial"/>
          <w:sz w:val="28"/>
          <w:szCs w:val="28"/>
        </w:rPr>
        <w:t xml:space="preserve">draft </w:t>
      </w:r>
      <w:r w:rsidR="0090751B">
        <w:rPr>
          <w:rFonts w:ascii="Arial" w:hAnsi="Arial"/>
          <w:sz w:val="28"/>
          <w:szCs w:val="28"/>
        </w:rPr>
        <w:t>Strategy</w:t>
      </w:r>
      <w:r w:rsidR="00B248F1">
        <w:rPr>
          <w:rFonts w:ascii="Arial" w:hAnsi="Arial"/>
          <w:sz w:val="28"/>
          <w:szCs w:val="28"/>
        </w:rPr>
        <w:t xml:space="preserve"> </w:t>
      </w:r>
      <w:r w:rsidR="009D7DFA">
        <w:rPr>
          <w:rFonts w:ascii="Arial" w:hAnsi="Arial"/>
          <w:sz w:val="28"/>
          <w:szCs w:val="28"/>
        </w:rPr>
        <w:t>messages</w:t>
      </w:r>
    </w:p>
    <w:p w14:paraId="65697ABB" w14:textId="77777777" w:rsidR="006F6689" w:rsidRPr="006F6689" w:rsidRDefault="006F6689" w:rsidP="0041013A">
      <w:pPr>
        <w:jc w:val="both"/>
      </w:pPr>
    </w:p>
    <w:p w14:paraId="104D76A0" w14:textId="705F15AF" w:rsidR="00E83720" w:rsidRPr="0041013A" w:rsidRDefault="00E83720" w:rsidP="0041013A">
      <w:pPr>
        <w:pStyle w:val="Default"/>
        <w:jc w:val="both"/>
        <w:rPr>
          <w:b/>
          <w:bCs/>
          <w:color w:val="161B20"/>
        </w:rPr>
      </w:pPr>
      <w:r w:rsidRPr="0041013A">
        <w:rPr>
          <w:b/>
          <w:bCs/>
          <w:color w:val="161B20"/>
        </w:rPr>
        <w:t>Current situation</w:t>
      </w:r>
    </w:p>
    <w:p w14:paraId="3BBA9A74" w14:textId="4E54ED2E" w:rsidR="00456FA5" w:rsidRDefault="00E83720" w:rsidP="0041013A">
      <w:pPr>
        <w:pStyle w:val="Default"/>
        <w:spacing w:after="182"/>
        <w:jc w:val="both"/>
        <w:rPr>
          <w:color w:val="161B20"/>
        </w:rPr>
      </w:pPr>
      <w:r w:rsidRPr="0041013A">
        <w:rPr>
          <w:color w:val="161B20"/>
        </w:rPr>
        <w:t>There are currently about 3,500 EVs in Harrow</w:t>
      </w:r>
      <w:r w:rsidR="003F4E75" w:rsidRPr="0041013A">
        <w:rPr>
          <w:color w:val="161B20"/>
        </w:rPr>
        <w:t>,</w:t>
      </w:r>
      <w:r w:rsidRPr="0041013A">
        <w:rPr>
          <w:color w:val="161B20"/>
        </w:rPr>
        <w:t xml:space="preserve"> which is less than 3.4% of total registered vehicles</w:t>
      </w:r>
      <w:r w:rsidR="006D0D92">
        <w:rPr>
          <w:color w:val="161B20"/>
        </w:rPr>
        <w:t xml:space="preserve"> </w:t>
      </w:r>
      <w:r w:rsidR="00864B75">
        <w:rPr>
          <w:color w:val="161B20"/>
        </w:rPr>
        <w:t>in Harrow</w:t>
      </w:r>
      <w:r w:rsidRPr="0041013A">
        <w:rPr>
          <w:color w:val="161B20"/>
        </w:rPr>
        <w:t xml:space="preserve">. However, </w:t>
      </w:r>
      <w:r w:rsidR="000D3BD1">
        <w:rPr>
          <w:color w:val="161B20"/>
        </w:rPr>
        <w:t>the Council</w:t>
      </w:r>
      <w:r w:rsidR="00A02414">
        <w:rPr>
          <w:color w:val="161B20"/>
        </w:rPr>
        <w:t xml:space="preserve"> </w:t>
      </w:r>
      <w:r w:rsidRPr="0041013A">
        <w:rPr>
          <w:color w:val="161B20"/>
        </w:rPr>
        <w:t>anticipate</w:t>
      </w:r>
      <w:r w:rsidR="000D3BD1">
        <w:rPr>
          <w:color w:val="161B20"/>
        </w:rPr>
        <w:t>s</w:t>
      </w:r>
      <w:r w:rsidRPr="0041013A">
        <w:rPr>
          <w:color w:val="161B20"/>
        </w:rPr>
        <w:t xml:space="preserve"> this</w:t>
      </w:r>
      <w:r w:rsidR="000D3BD1">
        <w:rPr>
          <w:color w:val="161B20"/>
        </w:rPr>
        <w:t xml:space="preserve"> will</w:t>
      </w:r>
      <w:r w:rsidRPr="0041013A">
        <w:rPr>
          <w:color w:val="161B20"/>
        </w:rPr>
        <w:t xml:space="preserve"> increase to about 20% in 2030, </w:t>
      </w:r>
      <w:r w:rsidRPr="00456FA5">
        <w:rPr>
          <w:color w:val="auto"/>
        </w:rPr>
        <w:t xml:space="preserve">nearly </w:t>
      </w:r>
      <w:r w:rsidR="00456FA5" w:rsidRPr="00456FA5">
        <w:rPr>
          <w:color w:val="auto"/>
        </w:rPr>
        <w:t>60</w:t>
      </w:r>
      <w:r w:rsidRPr="00456FA5">
        <w:rPr>
          <w:color w:val="auto"/>
        </w:rPr>
        <w:t>% in 20</w:t>
      </w:r>
      <w:r w:rsidR="00456FA5" w:rsidRPr="00456FA5">
        <w:rPr>
          <w:color w:val="auto"/>
        </w:rPr>
        <w:t>38</w:t>
      </w:r>
      <w:r w:rsidRPr="00456FA5">
        <w:rPr>
          <w:color w:val="auto"/>
        </w:rPr>
        <w:t xml:space="preserve"> and </w:t>
      </w:r>
      <w:r w:rsidRPr="0041013A">
        <w:rPr>
          <w:color w:val="161B20"/>
        </w:rPr>
        <w:t xml:space="preserve">approaching 100% by 2050. EV penetration in Harrow currently trends with adjacent local authorities outside London. In addition, since the pandemic, EV penetration of new car sales has shown strong growth within the UK. </w:t>
      </w:r>
    </w:p>
    <w:p w14:paraId="1CB2EB64" w14:textId="05A2F9AB" w:rsidR="00E83720" w:rsidRPr="0041013A" w:rsidRDefault="00E83720" w:rsidP="0041013A">
      <w:pPr>
        <w:pStyle w:val="Default"/>
        <w:jc w:val="both"/>
        <w:rPr>
          <w:color w:val="161B20"/>
        </w:rPr>
      </w:pPr>
      <w:r w:rsidRPr="0041013A">
        <w:rPr>
          <w:color w:val="161B20"/>
        </w:rPr>
        <w:t xml:space="preserve">In addition to home-based charging solutions, Harrow currently has around 64 public chargepoints including </w:t>
      </w:r>
      <w:r w:rsidRPr="004F4D88">
        <w:rPr>
          <w:color w:val="auto"/>
        </w:rPr>
        <w:t>57</w:t>
      </w:r>
      <w:r w:rsidRPr="0041013A">
        <w:rPr>
          <w:color w:val="161B20"/>
        </w:rPr>
        <w:t xml:space="preserve"> lamp column (3kW) and fast (7-22kW)</w:t>
      </w:r>
      <w:r w:rsidR="00167C6E">
        <w:rPr>
          <w:color w:val="161B20"/>
        </w:rPr>
        <w:t>;</w:t>
      </w:r>
      <w:r w:rsidRPr="0041013A">
        <w:rPr>
          <w:color w:val="161B20"/>
        </w:rPr>
        <w:t xml:space="preserve"> and seven </w:t>
      </w:r>
      <w:r w:rsidR="00D35B96">
        <w:rPr>
          <w:color w:val="161B20"/>
        </w:rPr>
        <w:t>r</w:t>
      </w:r>
      <w:r w:rsidRPr="0041013A">
        <w:rPr>
          <w:color w:val="161B20"/>
        </w:rPr>
        <w:t xml:space="preserve">apid (&gt;50kW) chargepoints at both publicly and privately owned land in Harrow. In addition, the Council plans to deploy funds secured through the On-street Residential Chargepoint Scheme (ORCS) in delivering 225 additional </w:t>
      </w:r>
      <w:r w:rsidRPr="0041013A">
        <w:rPr>
          <w:color w:val="161B20"/>
        </w:rPr>
        <w:lastRenderedPageBreak/>
        <w:t xml:space="preserve">lamp column chargepoints in 2023/24. Delivery of these additional chargepoints is focused on supporting residents who do not have access to off-street parking. </w:t>
      </w:r>
    </w:p>
    <w:p w14:paraId="6C6A6CB6" w14:textId="77777777" w:rsidR="00CF07A4" w:rsidRPr="0041013A" w:rsidRDefault="00CF07A4" w:rsidP="0041013A">
      <w:pPr>
        <w:pStyle w:val="Default"/>
        <w:jc w:val="both"/>
        <w:rPr>
          <w:color w:val="161B20"/>
        </w:rPr>
      </w:pPr>
    </w:p>
    <w:p w14:paraId="12D2CD67" w14:textId="4C042FEC" w:rsidR="003A5B03" w:rsidRPr="0041013A" w:rsidRDefault="003A5B03" w:rsidP="0041013A">
      <w:pPr>
        <w:pStyle w:val="Default"/>
        <w:jc w:val="both"/>
        <w:rPr>
          <w:b/>
          <w:bCs/>
          <w:color w:val="161B20"/>
        </w:rPr>
      </w:pPr>
      <w:r w:rsidRPr="0041013A">
        <w:rPr>
          <w:b/>
          <w:bCs/>
          <w:color w:val="161B20"/>
        </w:rPr>
        <w:t xml:space="preserve">EV chargepoints </w:t>
      </w:r>
    </w:p>
    <w:p w14:paraId="6A480FB2" w14:textId="5626D76E" w:rsidR="00E07336" w:rsidRPr="0041013A" w:rsidRDefault="00E07336" w:rsidP="0041013A">
      <w:pPr>
        <w:pStyle w:val="Default"/>
        <w:jc w:val="both"/>
      </w:pPr>
      <w:r w:rsidRPr="0041013A">
        <w:rPr>
          <w:color w:val="161B20"/>
        </w:rPr>
        <w:t xml:space="preserve">There is a range of different types of public EV charging infrastructure available across the market, alongside emerging technologies which are being </w:t>
      </w:r>
      <w:r w:rsidR="00FE11AA" w:rsidRPr="0041013A">
        <w:rPr>
          <w:color w:val="161B20"/>
        </w:rPr>
        <w:t>trialled</w:t>
      </w:r>
      <w:r w:rsidRPr="0041013A">
        <w:rPr>
          <w:color w:val="161B20"/>
        </w:rPr>
        <w:t xml:space="preserve"> and piloted across the UK. There are several </w:t>
      </w:r>
      <w:proofErr w:type="spellStart"/>
      <w:r w:rsidRPr="0041013A">
        <w:rPr>
          <w:color w:val="161B20"/>
        </w:rPr>
        <w:t>chargepoint</w:t>
      </w:r>
      <w:proofErr w:type="spellEnd"/>
      <w:r w:rsidRPr="0041013A">
        <w:rPr>
          <w:color w:val="161B20"/>
        </w:rPr>
        <w:t xml:space="preserve"> options for users as to where, how and when they want to charge their vehicles. EV charging infrastructure can be split into four categories based on speed/power output: </w:t>
      </w:r>
    </w:p>
    <w:p w14:paraId="7E063D20" w14:textId="1DD80440" w:rsidR="00E07336" w:rsidRPr="0079234C" w:rsidRDefault="00E07336" w:rsidP="0041013A">
      <w:pPr>
        <w:pStyle w:val="Default"/>
        <w:numPr>
          <w:ilvl w:val="0"/>
          <w:numId w:val="32"/>
        </w:numPr>
        <w:jc w:val="both"/>
        <w:rPr>
          <w:color w:val="auto"/>
        </w:rPr>
      </w:pPr>
      <w:r w:rsidRPr="0079234C">
        <w:rPr>
          <w:color w:val="auto"/>
        </w:rPr>
        <w:t>Slow</w:t>
      </w:r>
    </w:p>
    <w:p w14:paraId="5063F9B2" w14:textId="0327DDC0" w:rsidR="00E07336" w:rsidRPr="0079234C" w:rsidRDefault="00E07336" w:rsidP="0041013A">
      <w:pPr>
        <w:pStyle w:val="Default"/>
        <w:numPr>
          <w:ilvl w:val="0"/>
          <w:numId w:val="32"/>
        </w:numPr>
        <w:jc w:val="both"/>
        <w:rPr>
          <w:color w:val="auto"/>
        </w:rPr>
      </w:pPr>
      <w:r w:rsidRPr="0079234C">
        <w:rPr>
          <w:color w:val="auto"/>
        </w:rPr>
        <w:t xml:space="preserve">Fast </w:t>
      </w:r>
    </w:p>
    <w:p w14:paraId="266F1248" w14:textId="0B0CCC60" w:rsidR="00E07336" w:rsidRPr="0079234C" w:rsidRDefault="00E07336" w:rsidP="0041013A">
      <w:pPr>
        <w:pStyle w:val="Default"/>
        <w:numPr>
          <w:ilvl w:val="0"/>
          <w:numId w:val="32"/>
        </w:numPr>
        <w:jc w:val="both"/>
        <w:rPr>
          <w:color w:val="auto"/>
        </w:rPr>
      </w:pPr>
      <w:r w:rsidRPr="0079234C">
        <w:rPr>
          <w:color w:val="auto"/>
        </w:rPr>
        <w:t xml:space="preserve">Rapid; and </w:t>
      </w:r>
    </w:p>
    <w:p w14:paraId="4BC90412" w14:textId="59FB2A26" w:rsidR="00FD5DAA" w:rsidRPr="007805BE" w:rsidRDefault="00E07336" w:rsidP="0041013A">
      <w:pPr>
        <w:pStyle w:val="Default"/>
        <w:numPr>
          <w:ilvl w:val="0"/>
          <w:numId w:val="32"/>
        </w:numPr>
        <w:jc w:val="both"/>
      </w:pPr>
      <w:r w:rsidRPr="0041013A">
        <w:rPr>
          <w:color w:val="161B20"/>
        </w:rPr>
        <w:t xml:space="preserve">Ultra-rapid. </w:t>
      </w:r>
    </w:p>
    <w:p w14:paraId="138CDA3C" w14:textId="77777777" w:rsidR="007805BE" w:rsidRPr="0041013A" w:rsidRDefault="007805BE" w:rsidP="007805BE">
      <w:pPr>
        <w:pStyle w:val="Default"/>
        <w:ind w:left="720"/>
        <w:jc w:val="both"/>
      </w:pPr>
    </w:p>
    <w:p w14:paraId="25B87F3C" w14:textId="1D9CEEE4" w:rsidR="00FD5DAA" w:rsidRPr="0041013A" w:rsidRDefault="00FD5DAA" w:rsidP="0041013A">
      <w:pPr>
        <w:pStyle w:val="Default"/>
        <w:jc w:val="both"/>
      </w:pPr>
      <w:r w:rsidRPr="0041013A">
        <w:rPr>
          <w:color w:val="161B20"/>
        </w:rPr>
        <w:t>Harrow currently operates a mixed provision of chargepoints both on-street and in car parks. The council intends to keep a mixed provision of chargepoints for different use cases</w:t>
      </w:r>
      <w:r w:rsidR="001E5346" w:rsidRPr="0041013A">
        <w:rPr>
          <w:color w:val="161B20"/>
        </w:rPr>
        <w:t>,</w:t>
      </w:r>
      <w:r w:rsidRPr="0041013A">
        <w:rPr>
          <w:color w:val="161B20"/>
        </w:rPr>
        <w:t xml:space="preserve"> so </w:t>
      </w:r>
      <w:r w:rsidR="001E5346" w:rsidRPr="0041013A">
        <w:rPr>
          <w:color w:val="161B20"/>
        </w:rPr>
        <w:t xml:space="preserve">that </w:t>
      </w:r>
      <w:r w:rsidRPr="0041013A">
        <w:rPr>
          <w:color w:val="161B20"/>
        </w:rPr>
        <w:t xml:space="preserve">there are a range of </w:t>
      </w:r>
      <w:proofErr w:type="spellStart"/>
      <w:r w:rsidRPr="0041013A">
        <w:rPr>
          <w:color w:val="161B20"/>
        </w:rPr>
        <w:t>chargepoint</w:t>
      </w:r>
      <w:proofErr w:type="spellEnd"/>
      <w:r w:rsidRPr="0041013A">
        <w:rPr>
          <w:color w:val="161B20"/>
        </w:rPr>
        <w:t xml:space="preserve"> options for residents. </w:t>
      </w:r>
    </w:p>
    <w:p w14:paraId="3B6CFD48" w14:textId="77777777" w:rsidR="003B4E4B" w:rsidRPr="0041013A" w:rsidRDefault="003B4E4B" w:rsidP="003F61BC">
      <w:pPr>
        <w:jc w:val="both"/>
        <w:rPr>
          <w:b/>
          <w:bCs/>
          <w:color w:val="4472C4" w:themeColor="accent1"/>
          <w:szCs w:val="24"/>
        </w:rPr>
      </w:pPr>
    </w:p>
    <w:p w14:paraId="00AC8AB6" w14:textId="110F65B3" w:rsidR="00370BCE" w:rsidRPr="0041013A" w:rsidRDefault="00BC647D" w:rsidP="0041013A">
      <w:pPr>
        <w:pStyle w:val="Default"/>
        <w:jc w:val="both"/>
        <w:rPr>
          <w:b/>
          <w:bCs/>
          <w:color w:val="161B20"/>
        </w:rPr>
      </w:pPr>
      <w:r w:rsidRPr="0041013A">
        <w:rPr>
          <w:b/>
          <w:bCs/>
          <w:color w:val="161B20"/>
        </w:rPr>
        <w:t xml:space="preserve">EV </w:t>
      </w:r>
      <w:r w:rsidR="001823BE" w:rsidRPr="0041013A">
        <w:rPr>
          <w:b/>
          <w:bCs/>
          <w:color w:val="161B20"/>
        </w:rPr>
        <w:t>forecast</w:t>
      </w:r>
      <w:r w:rsidR="005D32F7" w:rsidRPr="0041013A">
        <w:rPr>
          <w:b/>
          <w:bCs/>
          <w:color w:val="161B20"/>
        </w:rPr>
        <w:t xml:space="preserve"> </w:t>
      </w:r>
      <w:r w:rsidR="001823BE" w:rsidRPr="0041013A">
        <w:rPr>
          <w:b/>
          <w:bCs/>
          <w:color w:val="161B20"/>
        </w:rPr>
        <w:t>projection</w:t>
      </w:r>
      <w:r w:rsidR="005D32F7" w:rsidRPr="0041013A">
        <w:rPr>
          <w:b/>
          <w:bCs/>
          <w:color w:val="161B20"/>
        </w:rPr>
        <w:t xml:space="preserve"> to </w:t>
      </w:r>
      <w:proofErr w:type="gramStart"/>
      <w:r w:rsidR="005D32F7" w:rsidRPr="0041013A">
        <w:rPr>
          <w:b/>
          <w:bCs/>
          <w:color w:val="161B20"/>
        </w:rPr>
        <w:t>20</w:t>
      </w:r>
      <w:r w:rsidR="00A23576">
        <w:rPr>
          <w:b/>
          <w:bCs/>
          <w:color w:val="161B20"/>
        </w:rPr>
        <w:t>38</w:t>
      </w:r>
      <w:proofErr w:type="gramEnd"/>
    </w:p>
    <w:p w14:paraId="4C4F645C" w14:textId="6F148990" w:rsidR="00DB02C2" w:rsidRPr="0041013A" w:rsidRDefault="00DB02C2" w:rsidP="0041013A">
      <w:pPr>
        <w:pStyle w:val="Default"/>
        <w:jc w:val="both"/>
        <w:rPr>
          <w:color w:val="161B20"/>
        </w:rPr>
      </w:pPr>
      <w:r w:rsidRPr="0041013A">
        <w:rPr>
          <w:color w:val="161B20"/>
        </w:rPr>
        <w:t>The p</w:t>
      </w:r>
      <w:r w:rsidR="00370BCE" w:rsidRPr="0041013A">
        <w:rPr>
          <w:color w:val="161B20"/>
        </w:rPr>
        <w:t>rojection of EV penetration within Harrow</w:t>
      </w:r>
      <w:r w:rsidRPr="0041013A">
        <w:rPr>
          <w:color w:val="161B20"/>
        </w:rPr>
        <w:t xml:space="preserve"> </w:t>
      </w:r>
      <w:r w:rsidR="009B70D4" w:rsidRPr="0041013A">
        <w:rPr>
          <w:color w:val="161B20"/>
        </w:rPr>
        <w:t xml:space="preserve">shown below </w:t>
      </w:r>
      <w:r w:rsidRPr="0041013A">
        <w:rPr>
          <w:color w:val="161B20"/>
        </w:rPr>
        <w:t>is based on:</w:t>
      </w:r>
    </w:p>
    <w:p w14:paraId="3489D25D" w14:textId="7493CB73" w:rsidR="000A5463" w:rsidRPr="0041013A" w:rsidRDefault="000A5463" w:rsidP="0041013A">
      <w:pPr>
        <w:pStyle w:val="Default"/>
        <w:numPr>
          <w:ilvl w:val="0"/>
          <w:numId w:val="36"/>
        </w:numPr>
        <w:jc w:val="both"/>
      </w:pPr>
      <w:r w:rsidRPr="0041013A">
        <w:rPr>
          <w:color w:val="161B20"/>
        </w:rPr>
        <w:t xml:space="preserve">The penetration of EV within total new vehicle sales according to the trajectories defined in OZEV’s </w:t>
      </w:r>
      <w:r w:rsidR="00D97853">
        <w:rPr>
          <w:color w:val="161B20"/>
        </w:rPr>
        <w:t>zero emission vehicle (</w:t>
      </w:r>
      <w:r w:rsidRPr="0041013A">
        <w:rPr>
          <w:color w:val="161B20"/>
        </w:rPr>
        <w:t>ZEV</w:t>
      </w:r>
      <w:r w:rsidR="00D97853">
        <w:rPr>
          <w:color w:val="161B20"/>
        </w:rPr>
        <w:t>)</w:t>
      </w:r>
      <w:r w:rsidRPr="0041013A">
        <w:rPr>
          <w:color w:val="161B20"/>
        </w:rPr>
        <w:t xml:space="preserve"> mandate; and </w:t>
      </w:r>
    </w:p>
    <w:p w14:paraId="43F67821" w14:textId="77777777" w:rsidR="0067222A" w:rsidRPr="0041013A" w:rsidRDefault="0067222A" w:rsidP="0041013A">
      <w:pPr>
        <w:pStyle w:val="Default"/>
        <w:ind w:left="720"/>
        <w:jc w:val="both"/>
      </w:pPr>
    </w:p>
    <w:p w14:paraId="2657FBE0" w14:textId="18050A94" w:rsidR="000A5463" w:rsidRPr="000108C2" w:rsidRDefault="000A5463" w:rsidP="0041013A">
      <w:pPr>
        <w:pStyle w:val="ListParagraph"/>
        <w:numPr>
          <w:ilvl w:val="0"/>
          <w:numId w:val="36"/>
        </w:numPr>
        <w:autoSpaceDE w:val="0"/>
        <w:autoSpaceDN w:val="0"/>
        <w:adjustRightInd w:val="0"/>
        <w:jc w:val="both"/>
        <w:rPr>
          <w:rFonts w:eastAsiaTheme="minorHAnsi" w:cs="Arial"/>
          <w:color w:val="000000"/>
          <w:szCs w:val="24"/>
        </w:rPr>
      </w:pPr>
      <w:r w:rsidRPr="0041013A">
        <w:rPr>
          <w:rFonts w:eastAsiaTheme="minorHAnsi" w:cs="Arial"/>
          <w:color w:val="161B20"/>
          <w:szCs w:val="24"/>
        </w:rPr>
        <w:t xml:space="preserve">The rate at which older incumbent diesel and petrol-powered vehicles age out as a function of average useful life estimates derived from </w:t>
      </w:r>
      <w:r w:rsidR="00466AFA">
        <w:rPr>
          <w:rFonts w:eastAsiaTheme="minorHAnsi" w:cs="Arial"/>
          <w:color w:val="161B20"/>
          <w:szCs w:val="24"/>
        </w:rPr>
        <w:t>Department for Transport (</w:t>
      </w:r>
      <w:r w:rsidRPr="0041013A">
        <w:rPr>
          <w:rFonts w:eastAsiaTheme="minorHAnsi" w:cs="Arial"/>
          <w:color w:val="161B20"/>
          <w:szCs w:val="24"/>
        </w:rPr>
        <w:t>DfT</w:t>
      </w:r>
      <w:r w:rsidR="00466AFA">
        <w:rPr>
          <w:rFonts w:eastAsiaTheme="minorHAnsi" w:cs="Arial"/>
          <w:color w:val="161B20"/>
          <w:szCs w:val="24"/>
        </w:rPr>
        <w:t>)</w:t>
      </w:r>
      <w:r w:rsidRPr="0041013A">
        <w:rPr>
          <w:rFonts w:eastAsiaTheme="minorHAnsi" w:cs="Arial"/>
          <w:color w:val="161B20"/>
          <w:szCs w:val="24"/>
        </w:rPr>
        <w:t xml:space="preserve"> data. </w:t>
      </w:r>
    </w:p>
    <w:p w14:paraId="332A03A6" w14:textId="77777777" w:rsidR="000108C2" w:rsidRPr="000108C2" w:rsidRDefault="000108C2" w:rsidP="000108C2">
      <w:pPr>
        <w:pStyle w:val="ListParagraph"/>
        <w:rPr>
          <w:rFonts w:eastAsiaTheme="minorHAnsi" w:cs="Arial"/>
          <w:color w:val="000000"/>
          <w:szCs w:val="24"/>
        </w:rPr>
      </w:pPr>
    </w:p>
    <w:p w14:paraId="6CEF4B56" w14:textId="5215AE57" w:rsidR="000108C2" w:rsidRPr="000108C2" w:rsidRDefault="000108C2" w:rsidP="000108C2">
      <w:pPr>
        <w:autoSpaceDE w:val="0"/>
        <w:autoSpaceDN w:val="0"/>
        <w:adjustRightInd w:val="0"/>
        <w:jc w:val="both"/>
        <w:rPr>
          <w:rFonts w:eastAsiaTheme="minorHAnsi" w:cs="Arial"/>
          <w:color w:val="000000"/>
          <w:szCs w:val="24"/>
        </w:rPr>
      </w:pPr>
      <w:r w:rsidRPr="000108C2">
        <w:rPr>
          <w:rFonts w:eastAsiaTheme="minorHAnsi" w:cs="Arial"/>
          <w:noProof/>
          <w:color w:val="000000"/>
          <w:szCs w:val="24"/>
        </w:rPr>
        <w:drawing>
          <wp:inline distT="0" distB="0" distL="0" distR="0" wp14:anchorId="24CE1F97" wp14:editId="4F98EF2D">
            <wp:extent cx="5276215" cy="370268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6215" cy="3702685"/>
                    </a:xfrm>
                    <a:prstGeom prst="rect">
                      <a:avLst/>
                    </a:prstGeom>
                  </pic:spPr>
                </pic:pic>
              </a:graphicData>
            </a:graphic>
          </wp:inline>
        </w:drawing>
      </w:r>
    </w:p>
    <w:p w14:paraId="5A444C8E" w14:textId="77777777" w:rsidR="009B70D4" w:rsidRPr="0041013A" w:rsidRDefault="009B70D4" w:rsidP="0041013A">
      <w:pPr>
        <w:pStyle w:val="ListParagraph"/>
        <w:jc w:val="both"/>
        <w:rPr>
          <w:rFonts w:eastAsiaTheme="minorHAnsi" w:cs="Arial"/>
          <w:color w:val="000000"/>
          <w:szCs w:val="24"/>
        </w:rPr>
      </w:pPr>
    </w:p>
    <w:p w14:paraId="294C563D" w14:textId="3720B3A0" w:rsidR="00DB02C2" w:rsidRDefault="00245061" w:rsidP="003B6759">
      <w:pPr>
        <w:pStyle w:val="Default"/>
        <w:rPr>
          <w:color w:val="161B20"/>
          <w:sz w:val="22"/>
          <w:szCs w:val="22"/>
        </w:rPr>
      </w:pPr>
      <w:r>
        <w:rPr>
          <w:color w:val="161B20"/>
          <w:sz w:val="22"/>
          <w:szCs w:val="22"/>
        </w:rPr>
        <w:lastRenderedPageBreak/>
        <w:t>Source: Steer anal</w:t>
      </w:r>
      <w:r w:rsidR="00576BA4">
        <w:rPr>
          <w:color w:val="161B20"/>
          <w:sz w:val="22"/>
          <w:szCs w:val="22"/>
        </w:rPr>
        <w:t>ysis</w:t>
      </w:r>
    </w:p>
    <w:p w14:paraId="6B939FA5" w14:textId="4EE2694A" w:rsidR="00F22BFD" w:rsidRDefault="00576BDD" w:rsidP="003B6759">
      <w:pPr>
        <w:pStyle w:val="Default"/>
        <w:rPr>
          <w:i/>
          <w:iCs/>
          <w:color w:val="161B20"/>
          <w:sz w:val="20"/>
          <w:szCs w:val="20"/>
        </w:rPr>
      </w:pPr>
      <w:r w:rsidRPr="00CD4E69">
        <w:rPr>
          <w:i/>
          <w:iCs/>
          <w:color w:val="161B20"/>
          <w:sz w:val="20"/>
          <w:szCs w:val="20"/>
        </w:rPr>
        <w:t>*</w:t>
      </w:r>
      <w:proofErr w:type="spellStart"/>
      <w:r w:rsidRPr="00CD4E69">
        <w:rPr>
          <w:i/>
          <w:iCs/>
          <w:color w:val="161B20"/>
          <w:sz w:val="20"/>
          <w:szCs w:val="20"/>
        </w:rPr>
        <w:t>eL</w:t>
      </w:r>
      <w:r w:rsidR="00A02414" w:rsidRPr="00CD4E69">
        <w:rPr>
          <w:i/>
          <w:iCs/>
          <w:color w:val="161B20"/>
          <w:sz w:val="20"/>
          <w:szCs w:val="20"/>
        </w:rPr>
        <w:t>CV</w:t>
      </w:r>
      <w:proofErr w:type="spellEnd"/>
      <w:r w:rsidR="00A02414" w:rsidRPr="00CD4E69">
        <w:rPr>
          <w:i/>
          <w:iCs/>
          <w:color w:val="161B20"/>
          <w:sz w:val="20"/>
          <w:szCs w:val="20"/>
        </w:rPr>
        <w:t xml:space="preserve"> – Electric Light Commercial Vehicles</w:t>
      </w:r>
    </w:p>
    <w:p w14:paraId="784A174E" w14:textId="77777777" w:rsidR="00D35B96" w:rsidRDefault="00D35B96" w:rsidP="003B6759">
      <w:pPr>
        <w:pStyle w:val="Default"/>
        <w:rPr>
          <w:i/>
          <w:iCs/>
          <w:color w:val="161B20"/>
          <w:sz w:val="20"/>
          <w:szCs w:val="20"/>
        </w:rPr>
      </w:pPr>
    </w:p>
    <w:p w14:paraId="394F53E5" w14:textId="630C123F" w:rsidR="009A016B" w:rsidRPr="00CD4E69" w:rsidRDefault="009A016B" w:rsidP="003B6759">
      <w:pPr>
        <w:pStyle w:val="Default"/>
        <w:rPr>
          <w:i/>
          <w:iCs/>
          <w:color w:val="161B20"/>
          <w:sz w:val="20"/>
          <w:szCs w:val="20"/>
        </w:rPr>
      </w:pPr>
      <w:r w:rsidRPr="009A016B">
        <w:rPr>
          <w:i/>
          <w:iCs/>
          <w:noProof/>
          <w:color w:val="161B20"/>
          <w:sz w:val="20"/>
          <w:szCs w:val="20"/>
        </w:rPr>
        <w:drawing>
          <wp:inline distT="0" distB="0" distL="0" distR="0" wp14:anchorId="6124E163" wp14:editId="056AFDFD">
            <wp:extent cx="5276215" cy="3089275"/>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76215" cy="3089275"/>
                    </a:xfrm>
                    <a:prstGeom prst="rect">
                      <a:avLst/>
                    </a:prstGeom>
                  </pic:spPr>
                </pic:pic>
              </a:graphicData>
            </a:graphic>
          </wp:inline>
        </w:drawing>
      </w:r>
    </w:p>
    <w:p w14:paraId="3DBF0E6F" w14:textId="77777777" w:rsidR="00F22BFD" w:rsidRPr="0041013A" w:rsidRDefault="00F22BFD" w:rsidP="003B6759">
      <w:pPr>
        <w:pStyle w:val="Default"/>
        <w:rPr>
          <w:color w:val="161B20"/>
        </w:rPr>
      </w:pPr>
    </w:p>
    <w:p w14:paraId="426C674A" w14:textId="2B23857B" w:rsidR="003B6759" w:rsidRPr="0041013A" w:rsidRDefault="003B6759" w:rsidP="0041013A">
      <w:pPr>
        <w:pStyle w:val="Default"/>
        <w:jc w:val="both"/>
        <w:rPr>
          <w:color w:val="161B20"/>
        </w:rPr>
      </w:pPr>
      <w:r w:rsidRPr="0041013A">
        <w:rPr>
          <w:color w:val="161B20"/>
        </w:rPr>
        <w:t xml:space="preserve">However, only a portion of the public charging network will be located on Council land (assumed to be 50%). The remaining EV </w:t>
      </w:r>
      <w:r w:rsidR="000272AE" w:rsidRPr="0041013A">
        <w:rPr>
          <w:color w:val="161B20"/>
        </w:rPr>
        <w:t>c</w:t>
      </w:r>
      <w:r w:rsidRPr="0041013A">
        <w:rPr>
          <w:color w:val="161B20"/>
        </w:rPr>
        <w:t xml:space="preserve">hargepoints will be deployed on private land by project sponsors including supermarkets, other retailers and existing diesel and petrol sellers. </w:t>
      </w:r>
    </w:p>
    <w:p w14:paraId="4B299D30" w14:textId="77777777" w:rsidR="005E72AB" w:rsidRPr="0041013A" w:rsidRDefault="005E72AB" w:rsidP="0041013A">
      <w:pPr>
        <w:pStyle w:val="Default"/>
        <w:jc w:val="both"/>
        <w:rPr>
          <w:color w:val="161B20"/>
        </w:rPr>
      </w:pPr>
    </w:p>
    <w:p w14:paraId="3B396814" w14:textId="19D225C0" w:rsidR="005E72AB" w:rsidRPr="0041013A" w:rsidRDefault="005E72AB" w:rsidP="0041013A">
      <w:pPr>
        <w:pStyle w:val="Default"/>
        <w:jc w:val="both"/>
        <w:rPr>
          <w:b/>
          <w:bCs/>
          <w:color w:val="161B20"/>
        </w:rPr>
      </w:pPr>
      <w:r w:rsidRPr="0041013A">
        <w:rPr>
          <w:b/>
          <w:bCs/>
          <w:color w:val="161B20"/>
        </w:rPr>
        <w:t>Potential locations for rapid or ultra-rapid charging</w:t>
      </w:r>
    </w:p>
    <w:p w14:paraId="4AD36D8E" w14:textId="66C24DDB" w:rsidR="006916DF" w:rsidRPr="00430E0C" w:rsidRDefault="00F00F55" w:rsidP="004F4D88">
      <w:pPr>
        <w:pStyle w:val="Default"/>
        <w:spacing w:after="182"/>
        <w:jc w:val="both"/>
      </w:pPr>
      <w:r w:rsidRPr="0041013A">
        <w:rPr>
          <w:color w:val="161B20"/>
        </w:rPr>
        <w:t>K</w:t>
      </w:r>
      <w:r w:rsidR="005E72AB" w:rsidRPr="0041013A">
        <w:rPr>
          <w:color w:val="161B20"/>
        </w:rPr>
        <w:t>ey locations for potential rapid or ultra-rapid chargepoints (50-150kW) have been identified, considering both the key destinations across Harrow (i.e., locations with higher dwell time) and the availability of space to locate rapid chargepoints (either standalone or in bunch). These locations include high opportunity areas (</w:t>
      </w:r>
      <w:r w:rsidR="00330508" w:rsidRPr="0041013A">
        <w:rPr>
          <w:color w:val="161B20"/>
        </w:rPr>
        <w:t>e.g.,</w:t>
      </w:r>
      <w:r w:rsidR="005E72AB" w:rsidRPr="0041013A">
        <w:rPr>
          <w:color w:val="161B20"/>
        </w:rPr>
        <w:t xml:space="preserve"> retail, high </w:t>
      </w:r>
      <w:proofErr w:type="gramStart"/>
      <w:r w:rsidR="005E72AB" w:rsidRPr="0041013A">
        <w:rPr>
          <w:color w:val="161B20"/>
        </w:rPr>
        <w:t>street car</w:t>
      </w:r>
      <w:proofErr w:type="gramEnd"/>
      <w:r w:rsidR="005E72AB" w:rsidRPr="0041013A">
        <w:rPr>
          <w:color w:val="161B20"/>
        </w:rPr>
        <w:t xml:space="preserve"> parks, industrial areas and so on). These chargepoints will help meet the need of residents for top-up charging, as well as that of visitors, small businesses, taxi and </w:t>
      </w:r>
      <w:r w:rsidR="00092001">
        <w:rPr>
          <w:color w:val="161B20"/>
        </w:rPr>
        <w:t>private hire vehicle (</w:t>
      </w:r>
      <w:r w:rsidR="005E72AB" w:rsidRPr="0041013A">
        <w:rPr>
          <w:color w:val="161B20"/>
        </w:rPr>
        <w:t>PHV</w:t>
      </w:r>
      <w:r w:rsidR="00092001">
        <w:rPr>
          <w:color w:val="161B20"/>
        </w:rPr>
        <w:t>)</w:t>
      </w:r>
      <w:r w:rsidR="005E72AB" w:rsidRPr="0041013A">
        <w:rPr>
          <w:color w:val="161B20"/>
        </w:rPr>
        <w:t xml:space="preserve"> drivers travelling into the borough. </w:t>
      </w:r>
    </w:p>
    <w:p w14:paraId="3A5EE489" w14:textId="0C871336" w:rsidR="009A356B" w:rsidRPr="0041013A" w:rsidRDefault="0066010C" w:rsidP="0041013A">
      <w:pPr>
        <w:pStyle w:val="Default"/>
        <w:jc w:val="both"/>
      </w:pPr>
      <w:r w:rsidRPr="0041013A">
        <w:rPr>
          <w:color w:val="161B20"/>
        </w:rPr>
        <w:t xml:space="preserve">It is </w:t>
      </w:r>
      <w:r w:rsidR="006916DF" w:rsidRPr="0041013A">
        <w:rPr>
          <w:color w:val="161B20"/>
        </w:rPr>
        <w:t>anticipate</w:t>
      </w:r>
      <w:r w:rsidRPr="0041013A">
        <w:rPr>
          <w:color w:val="161B20"/>
        </w:rPr>
        <w:t>d</w:t>
      </w:r>
      <w:r w:rsidR="006916DF" w:rsidRPr="0041013A">
        <w:rPr>
          <w:color w:val="161B20"/>
        </w:rPr>
        <w:t xml:space="preserve"> that nearly half of the public charging network in Harrow will be located on Council land </w:t>
      </w:r>
      <w:r w:rsidR="00C07939" w:rsidRPr="0041013A">
        <w:rPr>
          <w:color w:val="161B20"/>
        </w:rPr>
        <w:t xml:space="preserve">(including </w:t>
      </w:r>
      <w:r w:rsidR="00313C78" w:rsidRPr="0041013A">
        <w:rPr>
          <w:color w:val="161B20"/>
        </w:rPr>
        <w:t>the public highway</w:t>
      </w:r>
      <w:r w:rsidR="00C07939" w:rsidRPr="0041013A">
        <w:rPr>
          <w:color w:val="161B20"/>
        </w:rPr>
        <w:t>)</w:t>
      </w:r>
      <w:r w:rsidR="00313C78" w:rsidRPr="0041013A">
        <w:rPr>
          <w:color w:val="161B20"/>
        </w:rPr>
        <w:t xml:space="preserve"> </w:t>
      </w:r>
      <w:r w:rsidR="006916DF" w:rsidRPr="0041013A">
        <w:rPr>
          <w:color w:val="161B20"/>
        </w:rPr>
        <w:t xml:space="preserve">and that the remaining chargepoints will be on private land (e.g., supermarkets etc). Development of charging infrastructure on Council land (roughly 700 chargers by 2030) will require a mix of funding from both public sources (e.g., the ORCS and </w:t>
      </w:r>
      <w:r w:rsidR="00B10934">
        <w:rPr>
          <w:color w:val="161B20"/>
        </w:rPr>
        <w:t>Local Electric Vehicle Infrastructure (</w:t>
      </w:r>
      <w:r w:rsidR="006916DF" w:rsidRPr="0041013A">
        <w:rPr>
          <w:color w:val="161B20"/>
        </w:rPr>
        <w:t>LEVI</w:t>
      </w:r>
      <w:r w:rsidR="00B10934">
        <w:rPr>
          <w:color w:val="161B20"/>
        </w:rPr>
        <w:t>)</w:t>
      </w:r>
      <w:r w:rsidR="006916DF" w:rsidRPr="0041013A">
        <w:rPr>
          <w:color w:val="161B20"/>
        </w:rPr>
        <w:t xml:space="preserve"> programs) and private sources.</w:t>
      </w:r>
    </w:p>
    <w:p w14:paraId="5DBDE3E7" w14:textId="2885520F" w:rsidR="0090751B" w:rsidRDefault="0090751B" w:rsidP="0041013A">
      <w:pPr>
        <w:jc w:val="both"/>
        <w:rPr>
          <w:szCs w:val="24"/>
        </w:rPr>
      </w:pPr>
    </w:p>
    <w:p w14:paraId="1DA9C9E4" w14:textId="15B2EB66" w:rsidR="007805BE" w:rsidRDefault="007805BE" w:rsidP="0041013A">
      <w:pPr>
        <w:jc w:val="both"/>
        <w:rPr>
          <w:szCs w:val="24"/>
        </w:rPr>
      </w:pPr>
    </w:p>
    <w:p w14:paraId="0BFD6B0B" w14:textId="14004750" w:rsidR="007805BE" w:rsidRDefault="007805BE" w:rsidP="0041013A">
      <w:pPr>
        <w:jc w:val="both"/>
        <w:rPr>
          <w:szCs w:val="24"/>
        </w:rPr>
      </w:pPr>
    </w:p>
    <w:p w14:paraId="69BC7205" w14:textId="7D6F1F3A" w:rsidR="007805BE" w:rsidRDefault="007805BE" w:rsidP="0041013A">
      <w:pPr>
        <w:jc w:val="both"/>
        <w:rPr>
          <w:szCs w:val="24"/>
        </w:rPr>
      </w:pPr>
    </w:p>
    <w:p w14:paraId="2B0DE61D" w14:textId="4F41ABB2" w:rsidR="007805BE" w:rsidRDefault="007805BE" w:rsidP="0041013A">
      <w:pPr>
        <w:jc w:val="both"/>
        <w:rPr>
          <w:szCs w:val="24"/>
        </w:rPr>
      </w:pPr>
    </w:p>
    <w:p w14:paraId="2564983E" w14:textId="1F314E6E" w:rsidR="007805BE" w:rsidRDefault="007805BE" w:rsidP="0041013A">
      <w:pPr>
        <w:jc w:val="both"/>
        <w:rPr>
          <w:szCs w:val="24"/>
        </w:rPr>
      </w:pPr>
    </w:p>
    <w:p w14:paraId="419A8583" w14:textId="6000CB3A" w:rsidR="007805BE" w:rsidRDefault="007805BE" w:rsidP="0041013A">
      <w:pPr>
        <w:jc w:val="both"/>
        <w:rPr>
          <w:szCs w:val="24"/>
        </w:rPr>
      </w:pPr>
    </w:p>
    <w:p w14:paraId="19816BB4" w14:textId="150DA6FE" w:rsidR="007805BE" w:rsidRDefault="007805BE" w:rsidP="0041013A">
      <w:pPr>
        <w:jc w:val="both"/>
        <w:rPr>
          <w:szCs w:val="24"/>
        </w:rPr>
      </w:pPr>
    </w:p>
    <w:p w14:paraId="47CC2681" w14:textId="7DEE0098" w:rsidR="007805BE" w:rsidRDefault="007805BE" w:rsidP="0041013A">
      <w:pPr>
        <w:jc w:val="both"/>
        <w:rPr>
          <w:szCs w:val="24"/>
        </w:rPr>
      </w:pPr>
    </w:p>
    <w:p w14:paraId="2E99D057" w14:textId="77777777" w:rsidR="007805BE" w:rsidRPr="00430E0C" w:rsidRDefault="007805BE" w:rsidP="0041013A">
      <w:pPr>
        <w:jc w:val="both"/>
        <w:rPr>
          <w:szCs w:val="24"/>
        </w:rPr>
      </w:pPr>
    </w:p>
    <w:p w14:paraId="09C52DDD" w14:textId="271F1E47" w:rsidR="0090751B" w:rsidRPr="0041013A" w:rsidRDefault="0090751B" w:rsidP="0041013A">
      <w:pPr>
        <w:pStyle w:val="Default"/>
        <w:jc w:val="both"/>
        <w:rPr>
          <w:color w:val="161B20"/>
        </w:rPr>
      </w:pPr>
      <w:r w:rsidRPr="0041013A">
        <w:rPr>
          <w:b/>
          <w:bCs/>
          <w:color w:val="161B20"/>
        </w:rPr>
        <w:lastRenderedPageBreak/>
        <w:t>Key actions</w:t>
      </w:r>
    </w:p>
    <w:p w14:paraId="00372EAB" w14:textId="68B076A8" w:rsidR="00DD61A5" w:rsidRPr="0041013A" w:rsidRDefault="00C20D75" w:rsidP="0041013A">
      <w:pPr>
        <w:pStyle w:val="Default"/>
        <w:jc w:val="both"/>
        <w:rPr>
          <w:color w:val="161B20"/>
        </w:rPr>
      </w:pPr>
      <w:r w:rsidRPr="003F29CC">
        <w:rPr>
          <w:color w:val="161B20"/>
          <w:sz w:val="22"/>
          <w:szCs w:val="22"/>
        </w:rPr>
        <w:t>A</w:t>
      </w:r>
      <w:r w:rsidR="0090751B" w:rsidRPr="003F29CC">
        <w:rPr>
          <w:color w:val="161B20"/>
          <w:sz w:val="22"/>
          <w:szCs w:val="22"/>
        </w:rPr>
        <w:t xml:space="preserve"> set of actions to meet the objectives of the Strategy </w:t>
      </w:r>
      <w:r w:rsidR="00CB0111">
        <w:rPr>
          <w:color w:val="161B20"/>
          <w:sz w:val="22"/>
          <w:szCs w:val="22"/>
        </w:rPr>
        <w:t>in the short (2024-26), medium (2027-33) and long (2034-38) term</w:t>
      </w:r>
      <w:r w:rsidR="003F29CC">
        <w:rPr>
          <w:color w:val="161B20"/>
          <w:sz w:val="22"/>
          <w:szCs w:val="22"/>
        </w:rPr>
        <w:t xml:space="preserve"> have been developed</w:t>
      </w:r>
      <w:r w:rsidR="00CB0111">
        <w:rPr>
          <w:color w:val="161B20"/>
          <w:sz w:val="22"/>
          <w:szCs w:val="22"/>
        </w:rPr>
        <w:t xml:space="preserve">. They are included in Chapter 7 of this Strategy. </w:t>
      </w:r>
    </w:p>
    <w:p w14:paraId="627D0653" w14:textId="77777777" w:rsidR="00DD61A5" w:rsidRPr="0041013A" w:rsidRDefault="00DD61A5" w:rsidP="0041013A">
      <w:pPr>
        <w:pStyle w:val="Default"/>
        <w:jc w:val="both"/>
        <w:rPr>
          <w:color w:val="161B20"/>
        </w:rPr>
      </w:pPr>
    </w:p>
    <w:p w14:paraId="6C7D3998" w14:textId="7EBF52D3" w:rsidR="0090751B" w:rsidRPr="0041013A" w:rsidRDefault="0090751B" w:rsidP="0041013A">
      <w:pPr>
        <w:pStyle w:val="Default"/>
        <w:jc w:val="both"/>
      </w:pPr>
      <w:r w:rsidRPr="0041013A">
        <w:rPr>
          <w:color w:val="161B20"/>
        </w:rPr>
        <w:t>Some of the key targets include:</w:t>
      </w:r>
    </w:p>
    <w:p w14:paraId="1B1772E8" w14:textId="0088E411" w:rsidR="0090751B" w:rsidRPr="0041013A" w:rsidRDefault="0090751B" w:rsidP="0041013A">
      <w:pPr>
        <w:pStyle w:val="Default"/>
        <w:numPr>
          <w:ilvl w:val="0"/>
          <w:numId w:val="37"/>
        </w:numPr>
        <w:spacing w:after="41"/>
        <w:jc w:val="both"/>
      </w:pPr>
      <w:r w:rsidRPr="0041013A">
        <w:rPr>
          <w:color w:val="161B20"/>
        </w:rPr>
        <w:t>Ensure at least 10 rapid (50kW) and ultra rapid (&gt;150kW) chargepoints are deployed on council land by 202</w:t>
      </w:r>
      <w:r w:rsidR="00021F8B">
        <w:rPr>
          <w:color w:val="161B20"/>
        </w:rPr>
        <w:t>6</w:t>
      </w:r>
      <w:r w:rsidRPr="0041013A">
        <w:rPr>
          <w:color w:val="161B20"/>
        </w:rPr>
        <w:t>.</w:t>
      </w:r>
    </w:p>
    <w:p w14:paraId="6D9FFD54" w14:textId="0D6A165C" w:rsidR="0090751B" w:rsidRPr="0041013A" w:rsidRDefault="0090751B" w:rsidP="0041013A">
      <w:pPr>
        <w:pStyle w:val="Default"/>
        <w:numPr>
          <w:ilvl w:val="0"/>
          <w:numId w:val="37"/>
        </w:numPr>
        <w:spacing w:after="41"/>
        <w:jc w:val="both"/>
      </w:pPr>
      <w:r w:rsidRPr="0041013A">
        <w:rPr>
          <w:color w:val="161B20"/>
        </w:rPr>
        <w:t>Deliver up to 500 on-street chargepoints on council land by 2030.</w:t>
      </w:r>
    </w:p>
    <w:p w14:paraId="20B317A8" w14:textId="06EC64BA" w:rsidR="0090751B" w:rsidRPr="00430E0C" w:rsidRDefault="0090751B" w:rsidP="0041013A">
      <w:pPr>
        <w:pStyle w:val="Default"/>
        <w:numPr>
          <w:ilvl w:val="0"/>
          <w:numId w:val="37"/>
        </w:numPr>
        <w:jc w:val="both"/>
        <w:rPr>
          <w:color w:val="auto"/>
        </w:rPr>
      </w:pPr>
      <w:r w:rsidRPr="0041013A">
        <w:rPr>
          <w:color w:val="161B20"/>
        </w:rPr>
        <w:t xml:space="preserve">Ensure 80% of the residents in the borough have access to a </w:t>
      </w:r>
      <w:proofErr w:type="spellStart"/>
      <w:r w:rsidRPr="0041013A">
        <w:rPr>
          <w:color w:val="161B20"/>
        </w:rPr>
        <w:t>chargepoint</w:t>
      </w:r>
      <w:proofErr w:type="spellEnd"/>
      <w:r w:rsidRPr="0041013A">
        <w:rPr>
          <w:color w:val="161B20"/>
        </w:rPr>
        <w:t xml:space="preserve"> within 3 </w:t>
      </w:r>
      <w:proofErr w:type="spellStart"/>
      <w:r w:rsidRPr="0041013A">
        <w:rPr>
          <w:color w:val="161B20"/>
        </w:rPr>
        <w:t>min</w:t>
      </w:r>
      <w:r w:rsidR="00356C07">
        <w:rPr>
          <w:color w:val="161B20"/>
        </w:rPr>
        <w:t>ute</w:t>
      </w:r>
      <w:r w:rsidRPr="0041013A">
        <w:rPr>
          <w:color w:val="161B20"/>
        </w:rPr>
        <w:t>s walk</w:t>
      </w:r>
      <w:proofErr w:type="spellEnd"/>
      <w:r w:rsidRPr="0041013A">
        <w:rPr>
          <w:color w:val="161B20"/>
        </w:rPr>
        <w:t xml:space="preserve"> from home by 2033.</w:t>
      </w:r>
    </w:p>
    <w:p w14:paraId="24BD9BC5" w14:textId="621BC603" w:rsidR="0090751B" w:rsidRPr="0041013A" w:rsidRDefault="0090751B" w:rsidP="0041013A">
      <w:pPr>
        <w:pStyle w:val="Default"/>
        <w:numPr>
          <w:ilvl w:val="0"/>
          <w:numId w:val="37"/>
        </w:numPr>
        <w:spacing w:after="43"/>
        <w:jc w:val="both"/>
      </w:pPr>
      <w:r w:rsidRPr="0041013A">
        <w:rPr>
          <w:color w:val="161B20"/>
        </w:rPr>
        <w:t xml:space="preserve">Develop a phased approach to the Council's own fleet electrification (as the existing vehicles reach end of life) and progress towards full fleet electrification by 2035. </w:t>
      </w:r>
    </w:p>
    <w:p w14:paraId="190DA9D6" w14:textId="782E12E7" w:rsidR="0090751B" w:rsidRPr="0041013A" w:rsidRDefault="0090751B" w:rsidP="0041013A">
      <w:pPr>
        <w:pStyle w:val="Default"/>
        <w:numPr>
          <w:ilvl w:val="0"/>
          <w:numId w:val="37"/>
        </w:numPr>
        <w:spacing w:after="43"/>
        <w:jc w:val="both"/>
      </w:pPr>
      <w:r w:rsidRPr="0041013A">
        <w:rPr>
          <w:color w:val="161B20"/>
        </w:rPr>
        <w:t xml:space="preserve">Ensure all new chargepoints deployed </w:t>
      </w:r>
      <w:r w:rsidR="000905F8" w:rsidRPr="0041013A">
        <w:rPr>
          <w:color w:val="161B20"/>
        </w:rPr>
        <w:t>o</w:t>
      </w:r>
      <w:r w:rsidRPr="0041013A">
        <w:rPr>
          <w:color w:val="161B20"/>
        </w:rPr>
        <w:t xml:space="preserve">n council land meet the accessibility standards set out in BSI Electric vehicles - Accessible charging - Specification (PAS 1899:2022). </w:t>
      </w:r>
    </w:p>
    <w:p w14:paraId="075C523A" w14:textId="698CC8EA" w:rsidR="001246EE" w:rsidRPr="00866E71" w:rsidRDefault="0090751B" w:rsidP="00502225">
      <w:pPr>
        <w:pStyle w:val="Default"/>
        <w:numPr>
          <w:ilvl w:val="0"/>
          <w:numId w:val="37"/>
        </w:numPr>
        <w:jc w:val="both"/>
        <w:rPr>
          <w:color w:val="4472C4" w:themeColor="accent1"/>
        </w:rPr>
      </w:pPr>
      <w:r w:rsidRPr="00866E71">
        <w:rPr>
          <w:color w:val="161B20"/>
        </w:rPr>
        <w:t xml:space="preserve">Continue to provide emission-based parking permits in the </w:t>
      </w:r>
      <w:r w:rsidR="00DD3483" w:rsidRPr="00866E71">
        <w:rPr>
          <w:color w:val="161B20"/>
        </w:rPr>
        <w:t>Controlled Parking Zones (</w:t>
      </w:r>
      <w:r w:rsidRPr="00866E71">
        <w:rPr>
          <w:color w:val="161B20"/>
        </w:rPr>
        <w:t>CPZs</w:t>
      </w:r>
      <w:r w:rsidR="00DD3483" w:rsidRPr="00866E71">
        <w:rPr>
          <w:color w:val="161B20"/>
        </w:rPr>
        <w:t>)</w:t>
      </w:r>
      <w:r w:rsidR="00866E71">
        <w:rPr>
          <w:color w:val="161B20"/>
        </w:rPr>
        <w:t>.</w:t>
      </w:r>
    </w:p>
    <w:p w14:paraId="23376C92" w14:textId="77777777" w:rsidR="0093612A" w:rsidRDefault="0093612A" w:rsidP="00A81C77">
      <w:pPr>
        <w:rPr>
          <w:rFonts w:cs="Arial"/>
          <w:sz w:val="22"/>
          <w:szCs w:val="22"/>
        </w:rPr>
      </w:pPr>
    </w:p>
    <w:p w14:paraId="60D21316" w14:textId="77777777" w:rsidR="00A81C77" w:rsidRPr="005E158A" w:rsidRDefault="00A81C77" w:rsidP="00A81C77">
      <w:pPr>
        <w:pStyle w:val="Heading2"/>
        <w:rPr>
          <w:rFonts w:ascii="Arial" w:hAnsi="Arial"/>
          <w:sz w:val="28"/>
          <w:szCs w:val="28"/>
        </w:rPr>
      </w:pPr>
      <w:r w:rsidRPr="005E158A">
        <w:rPr>
          <w:rFonts w:ascii="Arial" w:hAnsi="Arial"/>
          <w:sz w:val="28"/>
          <w:szCs w:val="28"/>
        </w:rPr>
        <w:t>Implications of the Recommendation</w:t>
      </w:r>
    </w:p>
    <w:p w14:paraId="65B98318" w14:textId="2CF1D55D" w:rsidR="007E76EB" w:rsidRDefault="007E76EB" w:rsidP="003F61BC">
      <w:pPr>
        <w:pStyle w:val="Heading3"/>
        <w:spacing w:before="480" w:after="240"/>
        <w:ind w:left="0" w:firstLine="0"/>
      </w:pPr>
      <w:r w:rsidRPr="00A530AA">
        <w:t xml:space="preserve">Environmental </w:t>
      </w:r>
      <w:r w:rsidR="00A530AA" w:rsidRPr="00A530AA">
        <w:t>Implications</w:t>
      </w:r>
    </w:p>
    <w:p w14:paraId="49E4BCA1" w14:textId="77777777" w:rsidR="00426145" w:rsidRDefault="00A530AA" w:rsidP="0041013A">
      <w:pPr>
        <w:jc w:val="both"/>
      </w:pPr>
      <w:r>
        <w:t>Environmental implications are integral</w:t>
      </w:r>
      <w:r w:rsidR="00AC5859">
        <w:t xml:space="preserve"> to the subject matter of this report.</w:t>
      </w:r>
    </w:p>
    <w:p w14:paraId="6C0CE6D9" w14:textId="49797050" w:rsidR="00A530AA" w:rsidRPr="00A530AA" w:rsidRDefault="00CD3972" w:rsidP="0041013A">
      <w:pPr>
        <w:jc w:val="both"/>
      </w:pPr>
      <w:r>
        <w:t>The development of a de</w:t>
      </w:r>
      <w:r w:rsidR="00D154BF">
        <w:t>c</w:t>
      </w:r>
      <w:r>
        <w:t xml:space="preserve">arbonised transport system </w:t>
      </w:r>
      <w:r w:rsidR="00EE057E">
        <w:t>that reduces and ultimately eliminates fossil fuel vehicle journeys has many environmental benefits including better air quality, reductions in noise pollution</w:t>
      </w:r>
      <w:r w:rsidR="00667E0E">
        <w:t>, increases in local biodiversity</w:t>
      </w:r>
      <w:r w:rsidR="00EE057E">
        <w:t xml:space="preserve"> and healthier</w:t>
      </w:r>
      <w:r w:rsidR="00C968F4">
        <w:t>, more liveable</w:t>
      </w:r>
      <w:r w:rsidR="00426145">
        <w:t xml:space="preserve"> streets</w:t>
      </w:r>
      <w:r w:rsidR="00667E0E">
        <w:t xml:space="preserve">. </w:t>
      </w:r>
      <w:r w:rsidR="00EE057E">
        <w:t xml:space="preserve">  </w:t>
      </w:r>
    </w:p>
    <w:p w14:paraId="1A9AA638" w14:textId="77777777" w:rsidR="00A81C77" w:rsidRDefault="00A81C77" w:rsidP="003F61BC">
      <w:pPr>
        <w:pStyle w:val="Heading3"/>
        <w:spacing w:before="480" w:after="240"/>
      </w:pPr>
      <w:r>
        <w:t>Risk Management Implications</w:t>
      </w:r>
    </w:p>
    <w:p w14:paraId="3D953BD5" w14:textId="77777777" w:rsidR="00A81C77" w:rsidRDefault="00A81C77" w:rsidP="0041013A">
      <w:pPr>
        <w:tabs>
          <w:tab w:val="left" w:pos="5610"/>
        </w:tabs>
        <w:ind w:left="567" w:right="81" w:hanging="567"/>
        <w:jc w:val="both"/>
        <w:rPr>
          <w:rFonts w:cs="Arial"/>
          <w:szCs w:val="24"/>
          <w:lang w:val="en-US"/>
        </w:rPr>
      </w:pPr>
      <w:bookmarkStart w:id="0" w:name="_Hlk60923477"/>
      <w:bookmarkStart w:id="1" w:name="_Hlk60922991"/>
      <w:bookmarkStart w:id="2" w:name="_Hlk60923939"/>
    </w:p>
    <w:p w14:paraId="212539C4" w14:textId="516DCCCD" w:rsidR="00A81C77" w:rsidRPr="00105B8A" w:rsidRDefault="00A81C77" w:rsidP="0041013A">
      <w:pPr>
        <w:tabs>
          <w:tab w:val="left" w:pos="5610"/>
        </w:tabs>
        <w:ind w:right="81"/>
        <w:jc w:val="both"/>
        <w:rPr>
          <w:color w:val="0000FF"/>
        </w:rPr>
      </w:pPr>
      <w:r>
        <w:rPr>
          <w:rFonts w:cs="Arial"/>
          <w:szCs w:val="24"/>
          <w:lang w:val="en-US"/>
        </w:rPr>
        <w:t xml:space="preserve">Risks included on corporate or directorate risk </w:t>
      </w:r>
      <w:proofErr w:type="gramStart"/>
      <w:r>
        <w:rPr>
          <w:rFonts w:cs="Arial"/>
          <w:szCs w:val="24"/>
          <w:lang w:val="en-US"/>
        </w:rPr>
        <w:t>register?</w:t>
      </w:r>
      <w:proofErr w:type="gramEnd"/>
      <w:r>
        <w:rPr>
          <w:rFonts w:cs="Arial"/>
          <w:szCs w:val="24"/>
          <w:lang w:val="en-US"/>
        </w:rPr>
        <w:t xml:space="preserve"> </w:t>
      </w:r>
      <w:r>
        <w:rPr>
          <w:rFonts w:cs="Arial"/>
          <w:b/>
          <w:bCs/>
          <w:szCs w:val="24"/>
          <w:lang w:val="en-US"/>
        </w:rPr>
        <w:t>No</w:t>
      </w:r>
      <w:r>
        <w:rPr>
          <w:rFonts w:cs="Arial"/>
          <w:szCs w:val="24"/>
          <w:lang w:val="en-US"/>
        </w:rPr>
        <w:t xml:space="preserve"> </w:t>
      </w:r>
    </w:p>
    <w:p w14:paraId="2C25D072" w14:textId="77777777" w:rsidR="00A81C77" w:rsidRDefault="00A81C77" w:rsidP="0041013A">
      <w:pPr>
        <w:ind w:left="-142" w:right="141"/>
        <w:jc w:val="both"/>
        <w:rPr>
          <w:rFonts w:cs="Arial"/>
          <w:szCs w:val="24"/>
          <w:lang w:val="en-US" w:eastAsia="en-GB"/>
        </w:rPr>
      </w:pPr>
      <w:r>
        <w:rPr>
          <w:rFonts w:cs="Arial"/>
          <w:szCs w:val="24"/>
          <w:lang w:val="en-US" w:eastAsia="en-GB"/>
        </w:rPr>
        <w:t xml:space="preserve">  </w:t>
      </w:r>
    </w:p>
    <w:p w14:paraId="41BA80C0" w14:textId="0F1975B7" w:rsidR="00A81C77" w:rsidRDefault="00A81C77" w:rsidP="0041013A">
      <w:pPr>
        <w:ind w:left="-142" w:right="141" w:firstLine="142"/>
        <w:jc w:val="both"/>
        <w:rPr>
          <w:rFonts w:cs="Arial"/>
          <w:color w:val="4472C4" w:themeColor="accent1"/>
          <w:szCs w:val="24"/>
          <w:lang w:val="en-US" w:eastAsia="en-GB"/>
        </w:rPr>
      </w:pPr>
      <w:r>
        <w:rPr>
          <w:rFonts w:cs="Arial"/>
          <w:szCs w:val="24"/>
          <w:lang w:val="en-US" w:eastAsia="en-GB"/>
        </w:rPr>
        <w:t xml:space="preserve">Separate risk </w:t>
      </w:r>
      <w:proofErr w:type="gramStart"/>
      <w:r>
        <w:rPr>
          <w:rFonts w:cs="Arial"/>
          <w:szCs w:val="24"/>
          <w:lang w:val="en-US" w:eastAsia="en-GB"/>
        </w:rPr>
        <w:t>register</w:t>
      </w:r>
      <w:proofErr w:type="gramEnd"/>
      <w:r>
        <w:rPr>
          <w:rFonts w:cs="Arial"/>
          <w:szCs w:val="24"/>
          <w:lang w:val="en-US" w:eastAsia="en-GB"/>
        </w:rPr>
        <w:t xml:space="preserve"> in place? </w:t>
      </w:r>
      <w:r w:rsidR="00086A8B">
        <w:rPr>
          <w:rFonts w:cs="Arial"/>
          <w:b/>
          <w:bCs/>
          <w:szCs w:val="24"/>
          <w:lang w:val="en-US" w:eastAsia="en-GB"/>
        </w:rPr>
        <w:t>No</w:t>
      </w:r>
    </w:p>
    <w:p w14:paraId="2AEA2FB3" w14:textId="77777777" w:rsidR="00A81C77" w:rsidRDefault="00A81C77" w:rsidP="0041013A">
      <w:pPr>
        <w:tabs>
          <w:tab w:val="left" w:pos="5610"/>
        </w:tabs>
        <w:ind w:left="567" w:right="81" w:hanging="567"/>
        <w:jc w:val="both"/>
      </w:pPr>
    </w:p>
    <w:p w14:paraId="7534B9B8" w14:textId="5D788AC6" w:rsidR="00A81C77" w:rsidRDefault="00A81C77" w:rsidP="0041013A">
      <w:pPr>
        <w:tabs>
          <w:tab w:val="left" w:pos="5610"/>
        </w:tabs>
        <w:ind w:right="81"/>
        <w:jc w:val="both"/>
      </w:pPr>
      <w:r>
        <w:t>The relevant risks contained in the register are attached/summarised below.</w:t>
      </w:r>
      <w:r w:rsidR="00D33902" w:rsidRPr="7F973119">
        <w:rPr>
          <w:rFonts w:cs="Arial"/>
          <w:b/>
          <w:lang w:val="en-US" w:eastAsia="en-GB"/>
        </w:rPr>
        <w:t xml:space="preserve"> </w:t>
      </w:r>
      <w:r w:rsidR="28A1D016" w:rsidRPr="708573A1">
        <w:rPr>
          <w:rFonts w:cs="Arial"/>
          <w:b/>
          <w:bCs/>
          <w:lang w:val="en-US" w:eastAsia="en-GB"/>
        </w:rPr>
        <w:t>Yes</w:t>
      </w:r>
    </w:p>
    <w:p w14:paraId="02C5C3EE" w14:textId="77777777" w:rsidR="00A81C77" w:rsidRDefault="00A81C77" w:rsidP="0041013A">
      <w:pPr>
        <w:jc w:val="both"/>
      </w:pPr>
    </w:p>
    <w:p w14:paraId="77FA2D24" w14:textId="05E82D8A" w:rsidR="00A81C77" w:rsidRDefault="00A81C77" w:rsidP="0041013A">
      <w:pPr>
        <w:jc w:val="both"/>
      </w:pPr>
      <w:r>
        <w:t xml:space="preserve">The following key risks should be </w:t>
      </w:r>
      <w:proofErr w:type="gramStart"/>
      <w:r>
        <w:t>taken into account</w:t>
      </w:r>
      <w:proofErr w:type="gramEnd"/>
      <w:r>
        <w:t xml:space="preserve"> when agreeing the recommendations in this report:</w:t>
      </w:r>
    </w:p>
    <w:p w14:paraId="773595D7" w14:textId="321EABBB" w:rsidR="003F0F2E" w:rsidRDefault="003F0F2E" w:rsidP="0041013A">
      <w:pPr>
        <w:jc w:val="both"/>
      </w:pPr>
    </w:p>
    <w:p w14:paraId="5DAEF2C8" w14:textId="52D66F4B" w:rsidR="00576BDD" w:rsidRDefault="00576BDD" w:rsidP="0041013A">
      <w:pPr>
        <w:jc w:val="both"/>
      </w:pPr>
    </w:p>
    <w:p w14:paraId="07787F4B" w14:textId="7C571BD4" w:rsidR="00576BDD" w:rsidRDefault="00576BDD" w:rsidP="0041013A">
      <w:pPr>
        <w:jc w:val="both"/>
      </w:pPr>
    </w:p>
    <w:p w14:paraId="34D37E7D" w14:textId="220D4201" w:rsidR="00576BDD" w:rsidRDefault="00576BDD" w:rsidP="0041013A">
      <w:pPr>
        <w:jc w:val="both"/>
      </w:pPr>
    </w:p>
    <w:p w14:paraId="71A9DE97" w14:textId="0020D1B2" w:rsidR="00576BDD" w:rsidRDefault="00576BDD" w:rsidP="0041013A">
      <w:pPr>
        <w:jc w:val="both"/>
      </w:pPr>
    </w:p>
    <w:p w14:paraId="0619455A" w14:textId="1E8B7336" w:rsidR="00576BDD" w:rsidRDefault="00576BDD" w:rsidP="0041013A">
      <w:pPr>
        <w:jc w:val="both"/>
      </w:pPr>
    </w:p>
    <w:p w14:paraId="55BE366D" w14:textId="789B8E11" w:rsidR="00576BDD" w:rsidRDefault="00576BDD" w:rsidP="0041013A">
      <w:pPr>
        <w:jc w:val="both"/>
      </w:pPr>
    </w:p>
    <w:tbl>
      <w:tblPr>
        <w:tblW w:w="8593" w:type="dxa"/>
        <w:tblCellMar>
          <w:left w:w="10" w:type="dxa"/>
          <w:right w:w="10" w:type="dxa"/>
        </w:tblCellMar>
        <w:tblLook w:val="04A0" w:firstRow="1" w:lastRow="0" w:firstColumn="1" w:lastColumn="0" w:noHBand="0" w:noVBand="1"/>
      </w:tblPr>
      <w:tblGrid>
        <w:gridCol w:w="3267"/>
        <w:gridCol w:w="3958"/>
        <w:gridCol w:w="1368"/>
      </w:tblGrid>
      <w:tr w:rsidR="00576BDD" w14:paraId="29EA3556" w14:textId="77777777" w:rsidTr="00E75A97">
        <w:trPr>
          <w:trHeight w:val="452"/>
          <w:tblHeader/>
        </w:trPr>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745C1103" w14:textId="77777777" w:rsidR="00576BDD" w:rsidRDefault="00576BDD" w:rsidP="00E75A97">
            <w:pPr>
              <w:spacing w:line="247" w:lineRule="auto"/>
              <w:ind w:right="141"/>
              <w:rPr>
                <w:rFonts w:cs="Arial"/>
                <w:b/>
                <w:bCs/>
                <w:szCs w:val="24"/>
                <w:lang w:val="en-US" w:eastAsia="en-GB"/>
              </w:rPr>
            </w:pPr>
            <w:r>
              <w:rPr>
                <w:rFonts w:cs="Arial"/>
                <w:b/>
                <w:bCs/>
                <w:szCs w:val="24"/>
                <w:lang w:val="en-US" w:eastAsia="en-GB"/>
              </w:rPr>
              <w:lastRenderedPageBreak/>
              <w:t>Risk Description</w:t>
            </w:r>
          </w:p>
        </w:tc>
        <w:tc>
          <w:tcPr>
            <w:tcW w:w="3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0B0597AE" w14:textId="77777777" w:rsidR="00576BDD" w:rsidRDefault="00576BDD" w:rsidP="00E75A97">
            <w:pPr>
              <w:spacing w:line="247" w:lineRule="auto"/>
              <w:ind w:right="141"/>
              <w:rPr>
                <w:rFonts w:cs="Arial"/>
                <w:b/>
                <w:bCs/>
                <w:szCs w:val="24"/>
                <w:lang w:val="en-US" w:eastAsia="en-GB"/>
              </w:rPr>
            </w:pPr>
            <w:r>
              <w:rPr>
                <w:rFonts w:cs="Arial"/>
                <w:b/>
                <w:bCs/>
                <w:szCs w:val="24"/>
                <w:lang w:val="en-US" w:eastAsia="en-GB"/>
              </w:rPr>
              <w:t>Mitigations</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0989DCA" w14:textId="77777777" w:rsidR="00576BDD" w:rsidRDefault="00576BDD" w:rsidP="00E75A97">
            <w:pPr>
              <w:spacing w:line="247" w:lineRule="auto"/>
              <w:ind w:left="171" w:right="141"/>
              <w:rPr>
                <w:rFonts w:cs="Arial"/>
                <w:b/>
                <w:bCs/>
                <w:szCs w:val="24"/>
                <w:lang w:val="en-US" w:eastAsia="en-GB"/>
              </w:rPr>
            </w:pPr>
            <w:r>
              <w:rPr>
                <w:rFonts w:cs="Arial"/>
                <w:b/>
                <w:bCs/>
                <w:szCs w:val="24"/>
                <w:lang w:val="en-US" w:eastAsia="en-GB"/>
              </w:rPr>
              <w:t>RAG          Status</w:t>
            </w:r>
          </w:p>
        </w:tc>
      </w:tr>
      <w:tr w:rsidR="00576BDD" w14:paraId="7B947923" w14:textId="77777777" w:rsidTr="00E75A97">
        <w:trPr>
          <w:trHeight w:val="452"/>
          <w:tblHeader/>
        </w:trPr>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190CEDE6" w14:textId="77777777" w:rsidR="00576BDD" w:rsidRDefault="00576BDD" w:rsidP="00E75A97">
            <w:pPr>
              <w:pStyle w:val="Default"/>
              <w:rPr>
                <w:sz w:val="23"/>
                <w:szCs w:val="23"/>
              </w:rPr>
            </w:pPr>
            <w:r>
              <w:rPr>
                <w:sz w:val="23"/>
                <w:szCs w:val="23"/>
              </w:rPr>
              <w:t xml:space="preserve">Without a coherent Strategy Harrow will not have identifiable objectives. The Council would lack the focus required to achieve vehicle electrification at scale and enable the borough to meet its green mobility and decarbonisation commitments, providing the necessary charging infrastructure for the benefit of residents and businesses in Harrow. A lack of objectives would indicate that the council does not have a clear vision for the future. </w:t>
            </w:r>
          </w:p>
          <w:p w14:paraId="200F593D" w14:textId="77777777" w:rsidR="00576BDD" w:rsidRDefault="00576BDD" w:rsidP="00E75A97">
            <w:pPr>
              <w:spacing w:line="247" w:lineRule="auto"/>
              <w:ind w:right="141"/>
              <w:rPr>
                <w:rFonts w:cs="Arial"/>
                <w:b/>
                <w:bCs/>
                <w:szCs w:val="24"/>
                <w:lang w:val="en-US" w:eastAsia="en-GB"/>
              </w:rPr>
            </w:pPr>
          </w:p>
        </w:tc>
        <w:tc>
          <w:tcPr>
            <w:tcW w:w="3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7DF33FC" w14:textId="77777777" w:rsidR="00576BDD" w:rsidRPr="00D83B76" w:rsidRDefault="00576BDD" w:rsidP="00E75A97">
            <w:pPr>
              <w:pStyle w:val="ListParagraph"/>
              <w:numPr>
                <w:ilvl w:val="0"/>
                <w:numId w:val="40"/>
              </w:numPr>
              <w:spacing w:line="247" w:lineRule="auto"/>
              <w:ind w:left="164" w:right="141" w:hanging="164"/>
              <w:rPr>
                <w:rFonts w:cs="Arial"/>
                <w:szCs w:val="24"/>
                <w:lang w:val="en-US" w:eastAsia="en-GB"/>
              </w:rPr>
            </w:pPr>
            <w:r w:rsidRPr="00D83B76">
              <w:rPr>
                <w:rFonts w:cs="Arial"/>
                <w:szCs w:val="24"/>
                <w:lang w:val="en-US" w:eastAsia="en-GB"/>
              </w:rPr>
              <w:t>Adopt this report’s recommendations and advance the development of the Strategy.</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vAlign w:val="center"/>
          </w:tcPr>
          <w:p w14:paraId="18D9EE37" w14:textId="77777777" w:rsidR="00576BDD" w:rsidRPr="003C145A" w:rsidRDefault="00576BDD" w:rsidP="00E75A97">
            <w:pPr>
              <w:spacing w:line="247" w:lineRule="auto"/>
              <w:ind w:left="171" w:right="141"/>
              <w:jc w:val="center"/>
              <w:rPr>
                <w:rFonts w:cs="Arial"/>
                <w:b/>
                <w:bCs/>
                <w:szCs w:val="24"/>
                <w:lang w:val="en-US" w:eastAsia="en-GB"/>
              </w:rPr>
            </w:pPr>
            <w:r w:rsidRPr="003C145A">
              <w:rPr>
                <w:rFonts w:cs="Arial"/>
                <w:b/>
                <w:bCs/>
                <w:szCs w:val="24"/>
                <w:lang w:val="en-US" w:eastAsia="en-GB"/>
              </w:rPr>
              <w:t>GREEN</w:t>
            </w:r>
          </w:p>
        </w:tc>
      </w:tr>
      <w:tr w:rsidR="00576BDD" w14:paraId="518EE5BB" w14:textId="77777777" w:rsidTr="00E75A97">
        <w:trPr>
          <w:trHeight w:val="2983"/>
          <w:tblHeader/>
        </w:trPr>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9F826A9" w14:textId="77777777" w:rsidR="00576BDD" w:rsidRDefault="00576BDD" w:rsidP="00E75A97">
            <w:pPr>
              <w:pStyle w:val="Default"/>
              <w:rPr>
                <w:sz w:val="23"/>
                <w:szCs w:val="23"/>
              </w:rPr>
            </w:pPr>
            <w:r>
              <w:rPr>
                <w:sz w:val="23"/>
                <w:szCs w:val="23"/>
              </w:rPr>
              <w:t>The draft Strategy is unaffordable.</w:t>
            </w:r>
          </w:p>
          <w:p w14:paraId="0FEFC716" w14:textId="77777777" w:rsidR="00576BDD" w:rsidRDefault="00576BDD" w:rsidP="00E75A97">
            <w:pPr>
              <w:pStyle w:val="Default"/>
            </w:pPr>
          </w:p>
        </w:tc>
        <w:tc>
          <w:tcPr>
            <w:tcW w:w="3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CB5587A" w14:textId="77777777" w:rsidR="00576BDD" w:rsidRDefault="00576BDD" w:rsidP="00E75A97">
            <w:pPr>
              <w:pStyle w:val="Default"/>
              <w:numPr>
                <w:ilvl w:val="0"/>
                <w:numId w:val="40"/>
              </w:numPr>
              <w:ind w:left="164" w:hanging="164"/>
              <w:rPr>
                <w:sz w:val="23"/>
                <w:szCs w:val="23"/>
              </w:rPr>
            </w:pPr>
            <w:r>
              <w:rPr>
                <w:sz w:val="23"/>
                <w:szCs w:val="23"/>
              </w:rPr>
              <w:t>The Strategy acknowledges the significant financing challenges that accompany the high-level of capital investment that is required over coming years to supply EV infrastructure and electrification of the Council’s vehicle fleet. For the Council as an organisation this will require a significant element of external financing, building upon existing grant successes.</w:t>
            </w:r>
          </w:p>
          <w:p w14:paraId="54103715" w14:textId="77777777" w:rsidR="00576BDD" w:rsidRDefault="00576BDD" w:rsidP="00E75A97">
            <w:pPr>
              <w:pStyle w:val="Default"/>
              <w:rPr>
                <w:lang w:val="en-US" w:eastAsia="en-GB"/>
              </w:rPr>
            </w:pP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vAlign w:val="center"/>
          </w:tcPr>
          <w:p w14:paraId="0D1DF6BA" w14:textId="77777777" w:rsidR="00576BDD" w:rsidRPr="003C145A" w:rsidRDefault="00576BDD" w:rsidP="00E75A97">
            <w:pPr>
              <w:spacing w:line="247" w:lineRule="auto"/>
              <w:ind w:left="171" w:right="141"/>
              <w:jc w:val="center"/>
              <w:rPr>
                <w:rFonts w:cs="Arial"/>
                <w:b/>
                <w:bCs/>
                <w:szCs w:val="24"/>
                <w:lang w:val="en-US" w:eastAsia="en-GB"/>
              </w:rPr>
            </w:pPr>
            <w:r w:rsidRPr="003C145A">
              <w:rPr>
                <w:rFonts w:cs="Arial"/>
                <w:b/>
                <w:bCs/>
                <w:szCs w:val="24"/>
                <w:lang w:val="en-US" w:eastAsia="en-GB"/>
              </w:rPr>
              <w:t>AMBER</w:t>
            </w:r>
          </w:p>
        </w:tc>
      </w:tr>
      <w:tr w:rsidR="00576BDD" w14:paraId="621C29E4" w14:textId="77777777" w:rsidTr="00E75A97">
        <w:trPr>
          <w:trHeight w:val="452"/>
          <w:tblHeader/>
        </w:trPr>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72101E8F" w14:textId="77777777" w:rsidR="00576BDD" w:rsidRDefault="00576BDD" w:rsidP="00E75A97">
            <w:pPr>
              <w:pStyle w:val="Default"/>
              <w:rPr>
                <w:sz w:val="23"/>
                <w:szCs w:val="23"/>
              </w:rPr>
            </w:pPr>
            <w:r>
              <w:rPr>
                <w:sz w:val="23"/>
                <w:szCs w:val="23"/>
              </w:rPr>
              <w:t>Grid infrastructure – the development of a comprehensive EV charging network across Harrow will require electrical capacity upgrades to be carried out by the network operator.</w:t>
            </w:r>
          </w:p>
          <w:p w14:paraId="6F7135CE" w14:textId="77777777" w:rsidR="00576BDD" w:rsidRDefault="00576BDD" w:rsidP="00E75A97">
            <w:pPr>
              <w:pStyle w:val="Default"/>
              <w:rPr>
                <w:sz w:val="23"/>
                <w:szCs w:val="23"/>
              </w:rPr>
            </w:pPr>
          </w:p>
        </w:tc>
        <w:tc>
          <w:tcPr>
            <w:tcW w:w="3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52A025D" w14:textId="77777777" w:rsidR="00576BDD" w:rsidRDefault="00576BDD" w:rsidP="00E75A97">
            <w:pPr>
              <w:pStyle w:val="Default"/>
              <w:numPr>
                <w:ilvl w:val="0"/>
                <w:numId w:val="40"/>
              </w:numPr>
              <w:ind w:left="164" w:hanging="142"/>
              <w:rPr>
                <w:sz w:val="23"/>
                <w:szCs w:val="23"/>
              </w:rPr>
            </w:pPr>
            <w:r>
              <w:rPr>
                <w:sz w:val="23"/>
                <w:szCs w:val="23"/>
              </w:rPr>
              <w:t>Consideration of electrical charging requirements will be undertaken as projects are developed, to include early engagement with the network operator.</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vAlign w:val="center"/>
          </w:tcPr>
          <w:p w14:paraId="17A9A498" w14:textId="77777777" w:rsidR="00576BDD" w:rsidRPr="003C145A" w:rsidRDefault="00576BDD" w:rsidP="00E75A97">
            <w:pPr>
              <w:spacing w:line="247" w:lineRule="auto"/>
              <w:ind w:left="171" w:right="141"/>
              <w:jc w:val="center"/>
              <w:rPr>
                <w:rFonts w:cs="Arial"/>
                <w:b/>
                <w:bCs/>
                <w:szCs w:val="24"/>
                <w:lang w:val="en-US" w:eastAsia="en-GB"/>
              </w:rPr>
            </w:pPr>
            <w:r w:rsidRPr="003C145A">
              <w:rPr>
                <w:rFonts w:cs="Arial"/>
                <w:b/>
                <w:bCs/>
                <w:szCs w:val="24"/>
                <w:shd w:val="clear" w:color="auto" w:fill="FFC000"/>
                <w:lang w:val="en-US" w:eastAsia="en-GB"/>
              </w:rPr>
              <w:t>AMBER</w:t>
            </w:r>
            <w:r w:rsidRPr="003C145A">
              <w:rPr>
                <w:rFonts w:cs="Arial"/>
                <w:b/>
                <w:bCs/>
                <w:szCs w:val="24"/>
                <w:lang w:val="en-US" w:eastAsia="en-GB"/>
              </w:rPr>
              <w:t xml:space="preserve"> </w:t>
            </w:r>
          </w:p>
        </w:tc>
      </w:tr>
    </w:tbl>
    <w:p w14:paraId="55E0CCB8" w14:textId="77777777" w:rsidR="00576BDD" w:rsidRDefault="00576BDD" w:rsidP="0041013A">
      <w:pPr>
        <w:jc w:val="both"/>
      </w:pPr>
    </w:p>
    <w:p w14:paraId="7CCFDA6B" w14:textId="6D39465F" w:rsidR="00A5346F" w:rsidRPr="007805BE" w:rsidRDefault="00A81C77" w:rsidP="003F61BC">
      <w:pPr>
        <w:pStyle w:val="Heading3"/>
        <w:spacing w:before="480" w:after="240"/>
      </w:pPr>
      <w:bookmarkStart w:id="3" w:name="_Hlk147513286"/>
      <w:bookmarkEnd w:id="0"/>
      <w:bookmarkEnd w:id="1"/>
      <w:bookmarkEnd w:id="2"/>
      <w:r w:rsidRPr="007805BE">
        <w:t>Procurement Implications</w:t>
      </w:r>
    </w:p>
    <w:p w14:paraId="4CFB3A40" w14:textId="2E72A83F" w:rsidR="00A5346F" w:rsidRPr="007805BE" w:rsidRDefault="005D005F" w:rsidP="0041013A">
      <w:pPr>
        <w:autoSpaceDE w:val="0"/>
        <w:autoSpaceDN w:val="0"/>
        <w:adjustRightInd w:val="0"/>
        <w:jc w:val="both"/>
        <w:rPr>
          <w:rFonts w:eastAsiaTheme="minorHAnsi" w:cs="Arial"/>
          <w:szCs w:val="24"/>
        </w:rPr>
      </w:pPr>
      <w:r w:rsidRPr="007805BE">
        <w:rPr>
          <w:rFonts w:eastAsiaTheme="minorHAnsi" w:cs="Arial"/>
          <w:szCs w:val="24"/>
        </w:rPr>
        <w:t xml:space="preserve">There are no immediate procurement implications </w:t>
      </w:r>
      <w:r w:rsidR="008C1BF5" w:rsidRPr="007805BE">
        <w:rPr>
          <w:rFonts w:eastAsiaTheme="minorHAnsi" w:cs="Arial"/>
          <w:szCs w:val="24"/>
        </w:rPr>
        <w:t>through the adoption of the Strategy. However, a</w:t>
      </w:r>
      <w:r w:rsidR="00A5346F" w:rsidRPr="007805BE">
        <w:rPr>
          <w:rFonts w:eastAsiaTheme="minorHAnsi" w:cs="Arial"/>
          <w:szCs w:val="24"/>
        </w:rPr>
        <w:t xml:space="preserve">ny project initiated through enacting the </w:t>
      </w:r>
      <w:r w:rsidR="008C1BF5" w:rsidRPr="007805BE">
        <w:rPr>
          <w:rFonts w:eastAsiaTheme="minorHAnsi" w:cs="Arial"/>
          <w:szCs w:val="24"/>
        </w:rPr>
        <w:t>S</w:t>
      </w:r>
      <w:r w:rsidR="00A5346F" w:rsidRPr="007805BE">
        <w:rPr>
          <w:rFonts w:eastAsiaTheme="minorHAnsi" w:cs="Arial"/>
          <w:szCs w:val="24"/>
        </w:rPr>
        <w:t xml:space="preserve">trategy will require </w:t>
      </w:r>
      <w:r w:rsidR="005F6D38" w:rsidRPr="007805BE">
        <w:rPr>
          <w:rFonts w:eastAsiaTheme="minorHAnsi" w:cs="Arial"/>
          <w:szCs w:val="24"/>
        </w:rPr>
        <w:t xml:space="preserve">procurement to be </w:t>
      </w:r>
      <w:r w:rsidR="00A5346F" w:rsidRPr="007805BE">
        <w:rPr>
          <w:rFonts w:eastAsiaTheme="minorHAnsi" w:cs="Arial"/>
          <w:szCs w:val="24"/>
        </w:rPr>
        <w:t>undertake</w:t>
      </w:r>
      <w:r w:rsidR="005F6D38" w:rsidRPr="007805BE">
        <w:rPr>
          <w:rFonts w:eastAsiaTheme="minorHAnsi" w:cs="Arial"/>
          <w:szCs w:val="24"/>
        </w:rPr>
        <w:t>n</w:t>
      </w:r>
      <w:r w:rsidR="008C1BF5" w:rsidRPr="007805BE">
        <w:rPr>
          <w:rFonts w:eastAsiaTheme="minorHAnsi" w:cs="Arial"/>
          <w:szCs w:val="24"/>
        </w:rPr>
        <w:t xml:space="preserve"> in compliance with the Council’s Contract Procedure Rules and</w:t>
      </w:r>
      <w:r w:rsidR="00601F2D" w:rsidRPr="007805BE">
        <w:rPr>
          <w:rFonts w:eastAsiaTheme="minorHAnsi" w:cs="Arial"/>
          <w:szCs w:val="24"/>
        </w:rPr>
        <w:t xml:space="preserve"> </w:t>
      </w:r>
      <w:r w:rsidR="008C1BF5" w:rsidRPr="007805BE">
        <w:rPr>
          <w:rFonts w:eastAsiaTheme="minorHAnsi" w:cs="Arial"/>
          <w:szCs w:val="24"/>
        </w:rPr>
        <w:t>the legislative requirements</w:t>
      </w:r>
      <w:r w:rsidR="00061AB6" w:rsidRPr="007805BE">
        <w:rPr>
          <w:rFonts w:eastAsiaTheme="minorHAnsi" w:cs="Arial"/>
          <w:szCs w:val="24"/>
        </w:rPr>
        <w:t xml:space="preserve">, </w:t>
      </w:r>
      <w:r w:rsidR="006D357B" w:rsidRPr="007805BE">
        <w:rPr>
          <w:rFonts w:eastAsiaTheme="minorHAnsi" w:cs="Arial"/>
          <w:szCs w:val="24"/>
        </w:rPr>
        <w:t xml:space="preserve">including the </w:t>
      </w:r>
      <w:r w:rsidR="00094774" w:rsidRPr="007805BE">
        <w:rPr>
          <w:rFonts w:eastAsiaTheme="minorHAnsi" w:cs="Arial"/>
          <w:szCs w:val="24"/>
        </w:rPr>
        <w:t xml:space="preserve">relevant </w:t>
      </w:r>
      <w:r w:rsidR="006D357B" w:rsidRPr="007805BE">
        <w:rPr>
          <w:rFonts w:eastAsiaTheme="minorHAnsi" w:cs="Arial"/>
          <w:szCs w:val="24"/>
        </w:rPr>
        <w:t xml:space="preserve">procurement </w:t>
      </w:r>
      <w:r w:rsidR="00094774" w:rsidRPr="007805BE">
        <w:rPr>
          <w:rFonts w:eastAsiaTheme="minorHAnsi" w:cs="Arial"/>
          <w:szCs w:val="24"/>
        </w:rPr>
        <w:t>le</w:t>
      </w:r>
      <w:r w:rsidR="00772E5B" w:rsidRPr="007805BE">
        <w:rPr>
          <w:rFonts w:eastAsiaTheme="minorHAnsi" w:cs="Arial"/>
          <w:szCs w:val="24"/>
        </w:rPr>
        <w:t>gislation</w:t>
      </w:r>
      <w:r w:rsidR="008C1BF5" w:rsidRPr="007805BE">
        <w:rPr>
          <w:rFonts w:eastAsiaTheme="minorHAnsi" w:cs="Arial"/>
          <w:szCs w:val="24"/>
        </w:rPr>
        <w:t>.</w:t>
      </w:r>
      <w:r w:rsidR="00A5346F" w:rsidRPr="007805BE">
        <w:rPr>
          <w:rFonts w:eastAsiaTheme="minorHAnsi" w:cs="Arial"/>
          <w:szCs w:val="24"/>
        </w:rPr>
        <w:t xml:space="preserve"> </w:t>
      </w:r>
    </w:p>
    <w:p w14:paraId="1A87CA08" w14:textId="77777777" w:rsidR="00A5346F" w:rsidRPr="0041013A" w:rsidRDefault="00A5346F" w:rsidP="0041013A">
      <w:pPr>
        <w:jc w:val="both"/>
        <w:rPr>
          <w:rFonts w:cs="Arial"/>
          <w:i/>
          <w:iCs/>
          <w:szCs w:val="24"/>
        </w:rPr>
      </w:pPr>
    </w:p>
    <w:bookmarkEnd w:id="3"/>
    <w:p w14:paraId="1F2D5C75" w14:textId="7D943F4B" w:rsidR="00775E82" w:rsidRPr="007805BE" w:rsidRDefault="00660B5A" w:rsidP="0012123C">
      <w:pPr>
        <w:pStyle w:val="Heading3"/>
        <w:spacing w:before="480" w:after="240"/>
      </w:pPr>
      <w:r w:rsidRPr="007805BE">
        <w:lastRenderedPageBreak/>
        <w:t>Legal</w:t>
      </w:r>
      <w:r w:rsidR="00AE5245" w:rsidRPr="007805BE">
        <w:t xml:space="preserve"> Implication</w:t>
      </w:r>
      <w:r w:rsidR="009C4E71" w:rsidRPr="007805BE">
        <w:t>s</w:t>
      </w:r>
    </w:p>
    <w:p w14:paraId="6B8F2C3D" w14:textId="3421ED0C" w:rsidR="00D04900" w:rsidRPr="007805BE" w:rsidRDefault="008233FA" w:rsidP="0041013A">
      <w:pPr>
        <w:jc w:val="both"/>
      </w:pPr>
      <w:r w:rsidRPr="007805BE">
        <w:t xml:space="preserve">There is </w:t>
      </w:r>
      <w:r w:rsidR="001E749F" w:rsidRPr="007805BE">
        <w:t xml:space="preserve">currently </w:t>
      </w:r>
      <w:r w:rsidRPr="007805BE">
        <w:t>no specific legal requirement for local authorities to</w:t>
      </w:r>
      <w:r w:rsidR="007E652C" w:rsidRPr="007805BE">
        <w:t xml:space="preserve"> </w:t>
      </w:r>
      <w:r w:rsidR="00430E0C" w:rsidRPr="007805BE">
        <w:t>have a</w:t>
      </w:r>
      <w:r w:rsidR="007E652C" w:rsidRPr="007805BE">
        <w:t xml:space="preserve"> local EV Strategy</w:t>
      </w:r>
      <w:r w:rsidRPr="007805BE">
        <w:t>, although they are free to do so</w:t>
      </w:r>
      <w:r w:rsidR="002B6452" w:rsidRPr="007805BE">
        <w:t xml:space="preserve">, and certain requirements are imposed on new developments through the London Plan. </w:t>
      </w:r>
      <w:r w:rsidR="00472EEA" w:rsidRPr="007805BE">
        <w:t>Nationally, t</w:t>
      </w:r>
      <w:r w:rsidRPr="007805BE">
        <w:t xml:space="preserve">he Climate Change Act 2008 (as amended) imposes a duty on the </w:t>
      </w:r>
      <w:r w:rsidR="00D14AA4" w:rsidRPr="007805BE">
        <w:t xml:space="preserve">UK </w:t>
      </w:r>
      <w:r w:rsidRPr="007805BE">
        <w:t>government to ensure that by 2050 net carbon dioxide and other greenhouse gas (GHG) emissions are reduced by at least 100% when compared to 1990 levels. In other words, the UK has committed to reach a net zero carbon position by 2050.</w:t>
      </w:r>
      <w:r w:rsidR="00472EEA" w:rsidRPr="007805BE">
        <w:t xml:space="preserve"> The decarbonisation of </w:t>
      </w:r>
      <w:r w:rsidR="000215B4" w:rsidRPr="007805BE">
        <w:t xml:space="preserve">road </w:t>
      </w:r>
      <w:r w:rsidR="00472EEA" w:rsidRPr="007805BE">
        <w:t xml:space="preserve">transport </w:t>
      </w:r>
      <w:r w:rsidR="007E652C" w:rsidRPr="007805BE">
        <w:t xml:space="preserve">will be a key part of </w:t>
      </w:r>
      <w:r w:rsidR="000215B4" w:rsidRPr="007805BE">
        <w:t>achieving this objective.</w:t>
      </w:r>
    </w:p>
    <w:p w14:paraId="1D5B8B80" w14:textId="77777777" w:rsidR="00B95949" w:rsidRPr="007805BE" w:rsidRDefault="00B95949" w:rsidP="0041013A">
      <w:pPr>
        <w:jc w:val="both"/>
      </w:pPr>
    </w:p>
    <w:p w14:paraId="1345275A" w14:textId="79EA6443" w:rsidR="00A2048F" w:rsidRPr="007805BE" w:rsidRDefault="00A2048F" w:rsidP="00A2048F">
      <w:pPr>
        <w:rPr>
          <w:rFonts w:ascii="Calibri" w:hAnsi="Calibri"/>
          <w:sz w:val="22"/>
        </w:rPr>
      </w:pPr>
      <w:r w:rsidRPr="007805BE">
        <w:t xml:space="preserve">The Council will assess and deal appropriately with any title or other restrictions affecting the locations identified for the installation of </w:t>
      </w:r>
      <w:r w:rsidR="00E236C4" w:rsidRPr="007805BE">
        <w:t xml:space="preserve">EV </w:t>
      </w:r>
      <w:r w:rsidRPr="007805BE">
        <w:t xml:space="preserve">charge points. </w:t>
      </w:r>
    </w:p>
    <w:p w14:paraId="21BE5B03" w14:textId="77777777" w:rsidR="00B95949" w:rsidRPr="007805BE" w:rsidRDefault="00B95949" w:rsidP="0041013A">
      <w:pPr>
        <w:jc w:val="both"/>
      </w:pPr>
    </w:p>
    <w:p w14:paraId="189E341D" w14:textId="35E189E3" w:rsidR="00D04900" w:rsidRPr="00AC188D" w:rsidRDefault="008B6C0F" w:rsidP="0012123C">
      <w:pPr>
        <w:autoSpaceDE w:val="0"/>
        <w:autoSpaceDN w:val="0"/>
        <w:adjustRightInd w:val="0"/>
        <w:rPr>
          <w:rFonts w:eastAsiaTheme="minorHAnsi" w:cs="Arial"/>
          <w:color w:val="4472C4" w:themeColor="accent1"/>
          <w:szCs w:val="24"/>
        </w:rPr>
      </w:pPr>
      <w:r w:rsidRPr="007805BE">
        <w:rPr>
          <w:rFonts w:eastAsiaTheme="minorHAnsi" w:cs="Arial"/>
          <w:szCs w:val="24"/>
        </w:rPr>
        <w:t>There are no direct legal implications associated with considering this report. Any proposals or projects arising from the EV Strategy will be detailed in future reports and will include the relevant legal implications</w:t>
      </w:r>
      <w:r w:rsidRPr="00AC188D">
        <w:rPr>
          <w:rFonts w:eastAsiaTheme="minorHAnsi" w:cs="Arial"/>
          <w:color w:val="4472C4" w:themeColor="accent1"/>
          <w:szCs w:val="24"/>
        </w:rPr>
        <w:t>.</w:t>
      </w:r>
    </w:p>
    <w:p w14:paraId="78DDA253" w14:textId="2FA4EE7A" w:rsidR="007452CC" w:rsidRPr="0012123C" w:rsidRDefault="00A81C77" w:rsidP="0012123C">
      <w:pPr>
        <w:pStyle w:val="Heading3"/>
        <w:spacing w:before="480" w:after="240"/>
      </w:pPr>
      <w:r>
        <w:t>Financial Implications</w:t>
      </w:r>
    </w:p>
    <w:p w14:paraId="69A9549E" w14:textId="77777777" w:rsidR="007452CC" w:rsidRPr="007805BE" w:rsidRDefault="007452CC" w:rsidP="007452CC">
      <w:pPr>
        <w:autoSpaceDE w:val="0"/>
        <w:autoSpaceDN w:val="0"/>
        <w:adjustRightInd w:val="0"/>
        <w:jc w:val="both"/>
        <w:rPr>
          <w:rFonts w:eastAsiaTheme="minorHAnsi" w:cs="Arial"/>
          <w:szCs w:val="24"/>
        </w:rPr>
      </w:pPr>
      <w:r w:rsidRPr="007805BE">
        <w:rPr>
          <w:rFonts w:eastAsiaTheme="minorHAnsi" w:cs="Arial"/>
          <w:szCs w:val="24"/>
        </w:rPr>
        <w:t>A significant capital investment on the installation of new EV charging points will be required in order to meet the key targets set out in Chapter 7 of the draft Strategy. This may come from public sources (</w:t>
      </w:r>
      <w:proofErr w:type="gramStart"/>
      <w:r w:rsidRPr="007805BE">
        <w:rPr>
          <w:rFonts w:eastAsiaTheme="minorHAnsi" w:cs="Arial"/>
          <w:szCs w:val="24"/>
        </w:rPr>
        <w:t>e.g.</w:t>
      </w:r>
      <w:proofErr w:type="gramEnd"/>
      <w:r w:rsidRPr="007805BE">
        <w:rPr>
          <w:rFonts w:eastAsiaTheme="minorHAnsi" w:cs="Arial"/>
          <w:szCs w:val="24"/>
        </w:rPr>
        <w:t xml:space="preserve"> external grant funding from OZEV) and private sources.</w:t>
      </w:r>
    </w:p>
    <w:p w14:paraId="20202504" w14:textId="77777777" w:rsidR="007452CC" w:rsidRPr="007805BE" w:rsidRDefault="007452CC" w:rsidP="007452CC">
      <w:pPr>
        <w:autoSpaceDE w:val="0"/>
        <w:autoSpaceDN w:val="0"/>
        <w:adjustRightInd w:val="0"/>
        <w:jc w:val="both"/>
        <w:rPr>
          <w:rFonts w:eastAsiaTheme="minorHAnsi" w:cs="Arial"/>
          <w:szCs w:val="24"/>
        </w:rPr>
      </w:pPr>
    </w:p>
    <w:p w14:paraId="0C38C859" w14:textId="77777777" w:rsidR="007452CC" w:rsidRPr="007805BE" w:rsidRDefault="007452CC" w:rsidP="007452CC">
      <w:pPr>
        <w:autoSpaceDE w:val="0"/>
        <w:autoSpaceDN w:val="0"/>
        <w:adjustRightInd w:val="0"/>
        <w:jc w:val="both"/>
        <w:rPr>
          <w:rFonts w:eastAsiaTheme="minorHAnsi" w:cs="Arial"/>
          <w:szCs w:val="24"/>
        </w:rPr>
      </w:pPr>
      <w:r w:rsidRPr="007805BE">
        <w:rPr>
          <w:rFonts w:eastAsiaTheme="minorHAnsi" w:cs="Arial"/>
          <w:szCs w:val="24"/>
        </w:rPr>
        <w:t xml:space="preserve">As detailed in Chapter 6 of the draft Strategy, there are different commercial models for delivering the EV charging points. A licensee-based operating model has been suggested as the preferred option for new deployments of charging points going forward. The Council will aim to secure a license fee from the operator and a yield on some or </w:t>
      </w:r>
      <w:proofErr w:type="gramStart"/>
      <w:r w:rsidRPr="007805BE">
        <w:rPr>
          <w:rFonts w:eastAsiaTheme="minorHAnsi" w:cs="Arial"/>
          <w:szCs w:val="24"/>
        </w:rPr>
        <w:t>all of</w:t>
      </w:r>
      <w:proofErr w:type="gramEnd"/>
      <w:r w:rsidRPr="007805BE">
        <w:rPr>
          <w:rFonts w:eastAsiaTheme="minorHAnsi" w:cs="Arial"/>
          <w:szCs w:val="24"/>
        </w:rPr>
        <w:t xml:space="preserve"> the funding invested by the Council in new infrastructure. </w:t>
      </w:r>
    </w:p>
    <w:p w14:paraId="796AB327" w14:textId="77777777" w:rsidR="007452CC" w:rsidRPr="007805BE" w:rsidRDefault="007452CC" w:rsidP="007452CC">
      <w:pPr>
        <w:autoSpaceDE w:val="0"/>
        <w:autoSpaceDN w:val="0"/>
        <w:adjustRightInd w:val="0"/>
        <w:jc w:val="both"/>
        <w:rPr>
          <w:rFonts w:eastAsiaTheme="minorHAnsi" w:cs="Arial"/>
          <w:szCs w:val="24"/>
        </w:rPr>
      </w:pPr>
    </w:p>
    <w:p w14:paraId="0D67E18C" w14:textId="77777777" w:rsidR="007452CC" w:rsidRPr="007805BE" w:rsidRDefault="007452CC" w:rsidP="007452CC">
      <w:pPr>
        <w:autoSpaceDE w:val="0"/>
        <w:autoSpaceDN w:val="0"/>
        <w:adjustRightInd w:val="0"/>
        <w:jc w:val="both"/>
        <w:rPr>
          <w:rFonts w:eastAsiaTheme="minorHAnsi" w:cs="Arial"/>
          <w:szCs w:val="24"/>
        </w:rPr>
      </w:pPr>
      <w:r w:rsidRPr="007805BE">
        <w:rPr>
          <w:rFonts w:eastAsiaTheme="minorHAnsi" w:cs="Arial"/>
          <w:szCs w:val="24"/>
        </w:rPr>
        <w:t xml:space="preserve">In the current Medium Term Financial Strategy (MTFS), there is a target of £300k to be achieved over 2 years (2024/25 and 2025/26) from EV charging points. The delivery of the EV Strategy and a commercial arrangement based on the model described above will help to contribute to achieving the MTFS. </w:t>
      </w:r>
    </w:p>
    <w:p w14:paraId="761CBC83" w14:textId="65625116" w:rsidR="00A51BE5" w:rsidRPr="00A51BE5" w:rsidRDefault="00A81C77" w:rsidP="0012123C">
      <w:pPr>
        <w:pStyle w:val="Heading3"/>
        <w:spacing w:before="480" w:after="240"/>
        <w:ind w:left="0" w:firstLine="0"/>
      </w:pPr>
      <w:r w:rsidRPr="004A2543">
        <w:t>Equalities implications</w:t>
      </w:r>
      <w:r>
        <w:t xml:space="preserve"> </w:t>
      </w:r>
      <w:r w:rsidRPr="00333FAA">
        <w:t>/</w:t>
      </w:r>
      <w:r>
        <w:t xml:space="preserve"> </w:t>
      </w:r>
      <w:r w:rsidRPr="00333FAA">
        <w:t>Public Sector Equality Duty</w:t>
      </w:r>
    </w:p>
    <w:p w14:paraId="30D98AB7" w14:textId="54C50B9B" w:rsidR="009C726D" w:rsidRPr="0041013A" w:rsidRDefault="002046A8" w:rsidP="0041013A">
      <w:pPr>
        <w:jc w:val="both"/>
      </w:pPr>
      <w:r w:rsidRPr="0041013A">
        <w:t xml:space="preserve">A draft Equalities Impact Assessment </w:t>
      </w:r>
      <w:r w:rsidR="00B6282D" w:rsidRPr="0041013A">
        <w:t xml:space="preserve">(EQIA) </w:t>
      </w:r>
      <w:r w:rsidRPr="0041013A">
        <w:t xml:space="preserve">has been prepared for the </w:t>
      </w:r>
      <w:r w:rsidR="004F4D88">
        <w:t>l</w:t>
      </w:r>
      <w:r w:rsidR="004F4D88" w:rsidRPr="0041013A">
        <w:t>ong-</w:t>
      </w:r>
      <w:r w:rsidR="004F4D88">
        <w:t>t</w:t>
      </w:r>
      <w:r w:rsidR="004F4D88" w:rsidRPr="0041013A">
        <w:t>erm</w:t>
      </w:r>
      <w:r w:rsidRPr="0041013A">
        <w:t xml:space="preserve"> Transport Strategy</w:t>
      </w:r>
      <w:r w:rsidR="007F11B0" w:rsidRPr="0041013A">
        <w:t xml:space="preserve">, which </w:t>
      </w:r>
      <w:r w:rsidR="00097EFB" w:rsidRPr="0041013A">
        <w:t>considers the impact of</w:t>
      </w:r>
      <w:r w:rsidR="00712C69" w:rsidRPr="0041013A">
        <w:t xml:space="preserve"> </w:t>
      </w:r>
      <w:r w:rsidR="005B2F96" w:rsidRPr="0041013A">
        <w:t>transport</w:t>
      </w:r>
      <w:r w:rsidR="007F11B0" w:rsidRPr="0041013A">
        <w:t xml:space="preserve"> and future</w:t>
      </w:r>
      <w:r w:rsidR="00C25C4F" w:rsidRPr="0041013A">
        <w:t xml:space="preserve"> changes</w:t>
      </w:r>
      <w:r w:rsidR="007F11B0" w:rsidRPr="0041013A">
        <w:t xml:space="preserve"> </w:t>
      </w:r>
      <w:r w:rsidR="00B6282D" w:rsidRPr="0041013A">
        <w:t xml:space="preserve">(including the electrification of vehicles) </w:t>
      </w:r>
      <w:r w:rsidR="007F11B0" w:rsidRPr="0041013A">
        <w:t xml:space="preserve">upon those with protected </w:t>
      </w:r>
      <w:proofErr w:type="gramStart"/>
      <w:r w:rsidR="007F11B0" w:rsidRPr="0041013A">
        <w:t>characteristics</w:t>
      </w:r>
      <w:r w:rsidR="00556F5A">
        <w:t>, and</w:t>
      </w:r>
      <w:proofErr w:type="gramEnd"/>
      <w:r w:rsidR="00556F5A">
        <w:t xml:space="preserve"> has therefore </w:t>
      </w:r>
      <w:r w:rsidR="005716BF">
        <w:t>informed the development of the EV Strategy</w:t>
      </w:r>
      <w:r w:rsidR="005B2F96" w:rsidRPr="0041013A">
        <w:t xml:space="preserve">. </w:t>
      </w:r>
      <w:proofErr w:type="gramStart"/>
      <w:r w:rsidR="0041013A" w:rsidRPr="0041013A">
        <w:t>The elderly</w:t>
      </w:r>
      <w:r w:rsidR="0041013A">
        <w:t>,</w:t>
      </w:r>
      <w:proofErr w:type="gramEnd"/>
      <w:r w:rsidR="005B2F96" w:rsidRPr="0041013A">
        <w:t xml:space="preserve"> disabled and </w:t>
      </w:r>
      <w:r w:rsidR="00C9293E" w:rsidRPr="0041013A">
        <w:t xml:space="preserve">those who are </w:t>
      </w:r>
      <w:r w:rsidR="005B2F96" w:rsidRPr="0041013A">
        <w:t>pregnant a</w:t>
      </w:r>
      <w:r w:rsidR="00C25C4F" w:rsidRPr="0041013A">
        <w:t>re curre</w:t>
      </w:r>
      <w:r w:rsidR="00C9293E" w:rsidRPr="0041013A">
        <w:t>n</w:t>
      </w:r>
      <w:r w:rsidR="00C25C4F" w:rsidRPr="0041013A">
        <w:t>tly more reliant upon vehicular transport than the po</w:t>
      </w:r>
      <w:r w:rsidR="00C9293E" w:rsidRPr="0041013A">
        <w:t xml:space="preserve">pulation </w:t>
      </w:r>
      <w:r w:rsidR="00C25C4F" w:rsidRPr="0041013A">
        <w:t>at large</w:t>
      </w:r>
      <w:r w:rsidR="007F11B0" w:rsidRPr="0041013A">
        <w:t>,</w:t>
      </w:r>
      <w:r w:rsidR="00C25C4F" w:rsidRPr="0041013A">
        <w:t xml:space="preserve"> and this</w:t>
      </w:r>
      <w:r w:rsidR="00C9293E" w:rsidRPr="0041013A">
        <w:t xml:space="preserve"> </w:t>
      </w:r>
      <w:r w:rsidR="001A7889" w:rsidRPr="0041013A">
        <w:t xml:space="preserve">will </w:t>
      </w:r>
      <w:r w:rsidR="00C9293E" w:rsidRPr="0041013A">
        <w:t>remain the case</w:t>
      </w:r>
      <w:r w:rsidR="003045EE" w:rsidRPr="0041013A">
        <w:t xml:space="preserve"> over coming years</w:t>
      </w:r>
      <w:r w:rsidR="00C9293E" w:rsidRPr="0041013A">
        <w:t xml:space="preserve">. </w:t>
      </w:r>
      <w:r w:rsidR="00C25C4F" w:rsidRPr="0041013A">
        <w:t xml:space="preserve"> </w:t>
      </w:r>
      <w:r w:rsidR="005D050A" w:rsidRPr="0041013A">
        <w:t>Whilst t</w:t>
      </w:r>
      <w:r w:rsidR="007F11B0" w:rsidRPr="0041013A">
        <w:t xml:space="preserve">he </w:t>
      </w:r>
      <w:r w:rsidR="00FF51E4" w:rsidRPr="0041013A">
        <w:t>prov</w:t>
      </w:r>
      <w:r w:rsidR="003045EE" w:rsidRPr="0041013A">
        <w:t>i</w:t>
      </w:r>
      <w:r w:rsidR="00FF51E4" w:rsidRPr="0041013A">
        <w:t xml:space="preserve">sion of a comprehensive electric vehicle charging network will benefit </w:t>
      </w:r>
      <w:r w:rsidR="005F3BB5" w:rsidRPr="0041013A">
        <w:t xml:space="preserve">Harrow residents with or without those protected characteristics, </w:t>
      </w:r>
      <w:r w:rsidR="008641E7" w:rsidRPr="0041013A">
        <w:t xml:space="preserve">it will benefit </w:t>
      </w:r>
      <w:r w:rsidR="005F3BB5" w:rsidRPr="0041013A">
        <w:t xml:space="preserve">these </w:t>
      </w:r>
      <w:r w:rsidR="00FF51E4" w:rsidRPr="0041013A">
        <w:t>groups</w:t>
      </w:r>
      <w:r w:rsidR="008641E7" w:rsidRPr="0041013A">
        <w:t xml:space="preserve"> to </w:t>
      </w:r>
      <w:r w:rsidR="001A7889" w:rsidRPr="0041013A">
        <w:t xml:space="preserve">a greater degree, for </w:t>
      </w:r>
      <w:r w:rsidR="008641E7" w:rsidRPr="003D1D93">
        <w:rPr>
          <w:rFonts w:cs="Arial"/>
          <w:szCs w:val="24"/>
        </w:rPr>
        <w:lastRenderedPageBreak/>
        <w:t>whom non</w:t>
      </w:r>
      <w:r w:rsidR="0020768B" w:rsidRPr="003D1D93">
        <w:rPr>
          <w:rFonts w:cs="Arial"/>
          <w:szCs w:val="24"/>
        </w:rPr>
        <w:t>-</w:t>
      </w:r>
      <w:r w:rsidR="008641E7" w:rsidRPr="003D1D93">
        <w:rPr>
          <w:rFonts w:cs="Arial"/>
          <w:szCs w:val="24"/>
        </w:rPr>
        <w:t>vehicular methods of transport are not easily accessible. Similarly</w:t>
      </w:r>
      <w:r w:rsidR="001A7889" w:rsidRPr="003D1D93">
        <w:rPr>
          <w:rFonts w:cs="Arial"/>
          <w:szCs w:val="24"/>
        </w:rPr>
        <w:t>,</w:t>
      </w:r>
      <w:r w:rsidR="008641E7" w:rsidRPr="003D1D93">
        <w:rPr>
          <w:rFonts w:cs="Arial"/>
          <w:szCs w:val="24"/>
        </w:rPr>
        <w:t xml:space="preserve"> </w:t>
      </w:r>
      <w:r w:rsidR="00110699" w:rsidRPr="003D1D93">
        <w:rPr>
          <w:rFonts w:cs="Arial"/>
          <w:szCs w:val="24"/>
        </w:rPr>
        <w:t xml:space="preserve">a failure to provide </w:t>
      </w:r>
      <w:r w:rsidR="008641E7" w:rsidRPr="003D1D93">
        <w:rPr>
          <w:rFonts w:cs="Arial"/>
          <w:szCs w:val="24"/>
        </w:rPr>
        <w:t xml:space="preserve">adequate electrical vehicle charging infrastructure </w:t>
      </w:r>
      <w:r w:rsidR="001A7889" w:rsidRPr="003D1D93">
        <w:rPr>
          <w:rFonts w:cs="Arial"/>
          <w:szCs w:val="24"/>
        </w:rPr>
        <w:t xml:space="preserve">within Harrow </w:t>
      </w:r>
      <w:r w:rsidR="003045EE" w:rsidRPr="003D1D93">
        <w:rPr>
          <w:rFonts w:cs="Arial"/>
          <w:szCs w:val="24"/>
        </w:rPr>
        <w:t xml:space="preserve">will </w:t>
      </w:r>
      <w:r w:rsidR="0070624B" w:rsidRPr="003D1D93">
        <w:rPr>
          <w:rFonts w:cs="Arial"/>
          <w:szCs w:val="24"/>
        </w:rPr>
        <w:t>(as fossil fuel vehicles become more expensive and less common over time) dispro</w:t>
      </w:r>
      <w:r w:rsidR="0021632D" w:rsidRPr="003D1D93">
        <w:rPr>
          <w:rFonts w:cs="Arial"/>
          <w:szCs w:val="24"/>
        </w:rPr>
        <w:t>p</w:t>
      </w:r>
      <w:r w:rsidR="0070624B" w:rsidRPr="003D1D93">
        <w:rPr>
          <w:rFonts w:cs="Arial"/>
          <w:szCs w:val="24"/>
        </w:rPr>
        <w:t xml:space="preserve">ortionately </w:t>
      </w:r>
      <w:r w:rsidR="005D050A" w:rsidRPr="003D1D93">
        <w:rPr>
          <w:rFonts w:cs="Arial"/>
          <w:szCs w:val="24"/>
        </w:rPr>
        <w:t xml:space="preserve">affect them. </w:t>
      </w:r>
      <w:r w:rsidR="00B6282D" w:rsidRPr="003D1D93">
        <w:rPr>
          <w:rFonts w:cs="Arial"/>
          <w:szCs w:val="24"/>
        </w:rPr>
        <w:t xml:space="preserve">The draft EQIA will be </w:t>
      </w:r>
      <w:r w:rsidR="0021632D" w:rsidRPr="003D1D93">
        <w:rPr>
          <w:rFonts w:cs="Arial"/>
          <w:szCs w:val="24"/>
        </w:rPr>
        <w:t>kept under review and update</w:t>
      </w:r>
      <w:r w:rsidR="002F27B0" w:rsidRPr="003D1D93">
        <w:rPr>
          <w:rFonts w:cs="Arial"/>
          <w:szCs w:val="24"/>
        </w:rPr>
        <w:t>d</w:t>
      </w:r>
      <w:r w:rsidR="0021632D" w:rsidRPr="003D1D93">
        <w:rPr>
          <w:rFonts w:cs="Arial"/>
          <w:szCs w:val="24"/>
        </w:rPr>
        <w:t xml:space="preserve"> as necessary</w:t>
      </w:r>
      <w:r w:rsidR="008237ED" w:rsidRPr="003D1D93">
        <w:rPr>
          <w:rFonts w:cs="Arial"/>
          <w:szCs w:val="24"/>
        </w:rPr>
        <w:t xml:space="preserve"> </w:t>
      </w:r>
      <w:proofErr w:type="gramStart"/>
      <w:r w:rsidR="008237ED" w:rsidRPr="003D1D93">
        <w:rPr>
          <w:rFonts w:cs="Arial"/>
          <w:szCs w:val="24"/>
        </w:rPr>
        <w:t>in light of</w:t>
      </w:r>
      <w:proofErr w:type="gramEnd"/>
      <w:r w:rsidR="008237ED" w:rsidRPr="003D1D93">
        <w:rPr>
          <w:rFonts w:cs="Arial"/>
          <w:szCs w:val="24"/>
        </w:rPr>
        <w:t xml:space="preserve"> consultation feedback </w:t>
      </w:r>
      <w:r w:rsidR="00F9280F" w:rsidRPr="003D1D93">
        <w:rPr>
          <w:rFonts w:cs="Arial"/>
          <w:szCs w:val="24"/>
        </w:rPr>
        <w:t>relating to the long-term transport strategy</w:t>
      </w:r>
      <w:r w:rsidR="009A6B6F" w:rsidRPr="003D1D93">
        <w:rPr>
          <w:rFonts w:cs="Arial"/>
          <w:szCs w:val="24"/>
        </w:rPr>
        <w:t xml:space="preserve">, </w:t>
      </w:r>
      <w:r w:rsidR="009A6B6F" w:rsidRPr="005B54CE">
        <w:rPr>
          <w:rFonts w:cs="Arial"/>
          <w:color w:val="000000"/>
          <w:szCs w:val="24"/>
        </w:rPr>
        <w:t xml:space="preserve">as the EV strategy forms part of the </w:t>
      </w:r>
      <w:r w:rsidR="00D66FDB">
        <w:rPr>
          <w:rFonts w:cs="Arial"/>
          <w:color w:val="000000"/>
          <w:szCs w:val="24"/>
        </w:rPr>
        <w:t xml:space="preserve">policy </w:t>
      </w:r>
      <w:r w:rsidR="009A6B6F" w:rsidRPr="005B54CE">
        <w:rPr>
          <w:rFonts w:cs="Arial"/>
          <w:color w:val="000000"/>
          <w:szCs w:val="24"/>
        </w:rPr>
        <w:t xml:space="preserve">landscape </w:t>
      </w:r>
      <w:r w:rsidR="00D66FDB">
        <w:rPr>
          <w:rFonts w:cs="Arial"/>
          <w:color w:val="000000"/>
          <w:szCs w:val="24"/>
        </w:rPr>
        <w:t>for the</w:t>
      </w:r>
      <w:r w:rsidR="009A6B6F" w:rsidRPr="005B54CE">
        <w:rPr>
          <w:rFonts w:cs="Arial"/>
          <w:color w:val="000000"/>
          <w:szCs w:val="24"/>
        </w:rPr>
        <w:t xml:space="preserve"> </w:t>
      </w:r>
      <w:r w:rsidR="00AC2E85" w:rsidRPr="005B54CE">
        <w:rPr>
          <w:rFonts w:cs="Arial"/>
          <w:color w:val="000000"/>
          <w:szCs w:val="24"/>
        </w:rPr>
        <w:t>long-term transport</w:t>
      </w:r>
      <w:r w:rsidR="009A6B6F" w:rsidRPr="005B54CE">
        <w:rPr>
          <w:rFonts w:cs="Arial"/>
          <w:color w:val="000000"/>
          <w:szCs w:val="24"/>
        </w:rPr>
        <w:t xml:space="preserve"> </w:t>
      </w:r>
      <w:r w:rsidR="00AC2E85" w:rsidRPr="005B54CE">
        <w:rPr>
          <w:rFonts w:cs="Arial"/>
          <w:color w:val="000000"/>
          <w:szCs w:val="24"/>
        </w:rPr>
        <w:t>s</w:t>
      </w:r>
      <w:r w:rsidR="009A6B6F" w:rsidRPr="005B54CE">
        <w:rPr>
          <w:rFonts w:cs="Arial"/>
          <w:color w:val="000000"/>
          <w:szCs w:val="24"/>
        </w:rPr>
        <w:t>trategy</w:t>
      </w:r>
      <w:r w:rsidR="0021632D" w:rsidRPr="003D1D93">
        <w:rPr>
          <w:rFonts w:cs="Arial"/>
          <w:szCs w:val="24"/>
        </w:rPr>
        <w:t>.</w:t>
      </w:r>
      <w:r w:rsidR="0021632D" w:rsidRPr="0041013A">
        <w:t xml:space="preserve"> </w:t>
      </w:r>
    </w:p>
    <w:p w14:paraId="3135124C" w14:textId="40CF03C5" w:rsidR="007812BE" w:rsidRDefault="00A81C77" w:rsidP="0041013A">
      <w:pPr>
        <w:pStyle w:val="Heading4"/>
        <w:spacing w:before="480"/>
        <w:jc w:val="both"/>
      </w:pPr>
      <w:r w:rsidRPr="00AF31F7">
        <w:rPr>
          <w:sz w:val="28"/>
          <w:szCs w:val="28"/>
        </w:rPr>
        <w:t>Council Priorities</w:t>
      </w:r>
    </w:p>
    <w:p w14:paraId="2DDE07B3" w14:textId="77777777" w:rsidR="00E857E1" w:rsidRDefault="00E857E1" w:rsidP="0041013A">
      <w:pPr>
        <w:pStyle w:val="StyleListParagraphBold"/>
        <w:ind w:left="0"/>
        <w:jc w:val="both"/>
      </w:pPr>
    </w:p>
    <w:p w14:paraId="74C0675F" w14:textId="0ECD51AA" w:rsidR="007E14A3" w:rsidRPr="005E158A" w:rsidRDefault="00E857E1" w:rsidP="0041013A">
      <w:pPr>
        <w:pStyle w:val="StyleListParagraphBold"/>
        <w:ind w:left="0"/>
        <w:jc w:val="both"/>
        <w:rPr>
          <w:b w:val="0"/>
          <w:bCs w:val="0"/>
          <w:color w:val="auto"/>
        </w:rPr>
      </w:pPr>
      <w:r w:rsidRPr="005E158A">
        <w:rPr>
          <w:b w:val="0"/>
          <w:bCs w:val="0"/>
          <w:color w:val="auto"/>
        </w:rPr>
        <w:t xml:space="preserve">The expansion of EV charging provision aims to deliver a lower carbon borough. It will help deliver the Council’s </w:t>
      </w:r>
      <w:r w:rsidR="00D21121" w:rsidRPr="005E158A">
        <w:rPr>
          <w:b w:val="0"/>
          <w:bCs w:val="0"/>
          <w:color w:val="auto"/>
        </w:rPr>
        <w:t xml:space="preserve">overall </w:t>
      </w:r>
      <w:r w:rsidRPr="005E158A">
        <w:rPr>
          <w:b w:val="0"/>
          <w:bCs w:val="0"/>
          <w:color w:val="auto"/>
        </w:rPr>
        <w:t>vision of Restoring Pride in Harrow by realising the opportunities of new jobs and investment</w:t>
      </w:r>
      <w:r w:rsidR="00D21121" w:rsidRPr="005E158A">
        <w:rPr>
          <w:b w:val="0"/>
          <w:bCs w:val="0"/>
          <w:color w:val="auto"/>
        </w:rPr>
        <w:t xml:space="preserve"> in Electric Vehicles and associated infrastructure</w:t>
      </w:r>
      <w:r w:rsidRPr="005E158A">
        <w:rPr>
          <w:b w:val="0"/>
          <w:bCs w:val="0"/>
          <w:color w:val="auto"/>
        </w:rPr>
        <w:t>, improved health</w:t>
      </w:r>
      <w:r w:rsidR="00D21121" w:rsidRPr="005E158A">
        <w:rPr>
          <w:b w:val="0"/>
          <w:bCs w:val="0"/>
          <w:color w:val="auto"/>
        </w:rPr>
        <w:t xml:space="preserve"> and air quality </w:t>
      </w:r>
      <w:r w:rsidRPr="005E158A">
        <w:rPr>
          <w:b w:val="0"/>
          <w:bCs w:val="0"/>
          <w:color w:val="auto"/>
        </w:rPr>
        <w:t xml:space="preserve">and a </w:t>
      </w:r>
      <w:r w:rsidR="00D21121" w:rsidRPr="005E158A">
        <w:rPr>
          <w:b w:val="0"/>
          <w:bCs w:val="0"/>
          <w:color w:val="auto"/>
        </w:rPr>
        <w:t xml:space="preserve">more pleasant, </w:t>
      </w:r>
      <w:r w:rsidRPr="005E158A">
        <w:rPr>
          <w:b w:val="0"/>
          <w:bCs w:val="0"/>
          <w:color w:val="auto"/>
        </w:rPr>
        <w:t>thriving environment for local people.</w:t>
      </w:r>
    </w:p>
    <w:p w14:paraId="48D098B0" w14:textId="77777777" w:rsidR="007E14A3" w:rsidRPr="005E158A" w:rsidRDefault="007E14A3" w:rsidP="0041013A">
      <w:pPr>
        <w:pStyle w:val="StyleListParagraphBold"/>
        <w:ind w:left="0"/>
        <w:jc w:val="both"/>
        <w:rPr>
          <w:b w:val="0"/>
          <w:bCs w:val="0"/>
          <w:color w:val="auto"/>
        </w:rPr>
      </w:pPr>
    </w:p>
    <w:p w14:paraId="07C3E8AD" w14:textId="32DBB2E9" w:rsidR="00E857E1" w:rsidRPr="0041013A" w:rsidRDefault="007E14A3" w:rsidP="0041013A">
      <w:pPr>
        <w:pStyle w:val="StyleListParagraphBold"/>
        <w:ind w:left="0"/>
        <w:jc w:val="both"/>
        <w:rPr>
          <w:b w:val="0"/>
          <w:bCs w:val="0"/>
          <w:color w:val="auto"/>
        </w:rPr>
      </w:pPr>
      <w:r w:rsidRPr="005E158A">
        <w:rPr>
          <w:b w:val="0"/>
          <w:bCs w:val="0"/>
          <w:color w:val="auto"/>
        </w:rPr>
        <w:t xml:space="preserve">The increase in public charging </w:t>
      </w:r>
      <w:r w:rsidR="00ED458F" w:rsidRPr="005E158A">
        <w:rPr>
          <w:b w:val="0"/>
          <w:bCs w:val="0"/>
          <w:color w:val="auto"/>
        </w:rPr>
        <w:t xml:space="preserve">helps to put residents first by delivering much needed infrastructure to enable </w:t>
      </w:r>
      <w:r w:rsidR="00F35B52" w:rsidRPr="005E158A">
        <w:rPr>
          <w:b w:val="0"/>
          <w:bCs w:val="0"/>
          <w:color w:val="auto"/>
        </w:rPr>
        <w:t xml:space="preserve">greater levels of </w:t>
      </w:r>
      <w:r w:rsidR="00ED458F" w:rsidRPr="005E158A">
        <w:rPr>
          <w:b w:val="0"/>
          <w:bCs w:val="0"/>
          <w:color w:val="auto"/>
        </w:rPr>
        <w:t>green mobility</w:t>
      </w:r>
      <w:r w:rsidR="00F35B52" w:rsidRPr="005E158A">
        <w:rPr>
          <w:b w:val="0"/>
          <w:bCs w:val="0"/>
          <w:color w:val="auto"/>
        </w:rPr>
        <w:t xml:space="preserve"> in </w:t>
      </w:r>
      <w:r w:rsidR="00A265D5" w:rsidRPr="005E158A">
        <w:rPr>
          <w:b w:val="0"/>
          <w:bCs w:val="0"/>
          <w:color w:val="auto"/>
        </w:rPr>
        <w:t>Harrow and</w:t>
      </w:r>
      <w:r w:rsidR="00ED458F" w:rsidRPr="005E158A">
        <w:rPr>
          <w:b w:val="0"/>
          <w:bCs w:val="0"/>
          <w:color w:val="auto"/>
        </w:rPr>
        <w:t xml:space="preserve"> contributes to a borough that is clean and safe. </w:t>
      </w:r>
      <w:r w:rsidR="0098231B" w:rsidRPr="0041013A">
        <w:rPr>
          <w:b w:val="0"/>
          <w:bCs w:val="0"/>
          <w:color w:val="auto"/>
        </w:rPr>
        <w:t>The focus on on</w:t>
      </w:r>
      <w:r w:rsidR="000001BF" w:rsidRPr="0041013A">
        <w:rPr>
          <w:b w:val="0"/>
          <w:bCs w:val="0"/>
          <w:color w:val="auto"/>
        </w:rPr>
        <w:t>-</w:t>
      </w:r>
      <w:r w:rsidR="0098231B" w:rsidRPr="0041013A">
        <w:rPr>
          <w:b w:val="0"/>
          <w:bCs w:val="0"/>
          <w:color w:val="auto"/>
        </w:rPr>
        <w:t xml:space="preserve">street residential charging also aims to support those households who live in smaller </w:t>
      </w:r>
      <w:r w:rsidR="005827F8" w:rsidRPr="0041013A">
        <w:rPr>
          <w:b w:val="0"/>
          <w:bCs w:val="0"/>
          <w:color w:val="auto"/>
        </w:rPr>
        <w:t>homes with no off-street parking</w:t>
      </w:r>
      <w:r w:rsidR="00F35B52" w:rsidRPr="0041013A">
        <w:rPr>
          <w:b w:val="0"/>
          <w:bCs w:val="0"/>
          <w:color w:val="auto"/>
        </w:rPr>
        <w:t>.</w:t>
      </w:r>
    </w:p>
    <w:p w14:paraId="45D5FED8" w14:textId="77777777" w:rsidR="00A81C77" w:rsidRDefault="00A81C77" w:rsidP="0041013A">
      <w:pPr>
        <w:pStyle w:val="Heading2"/>
        <w:spacing w:before="480" w:after="240"/>
        <w:jc w:val="both"/>
      </w:pPr>
      <w:r>
        <w:t>Section 3 - Statutory Officer Clearance</w:t>
      </w:r>
    </w:p>
    <w:p w14:paraId="01C2AC82" w14:textId="098F4862" w:rsidR="00A81C77" w:rsidRPr="00C530CC" w:rsidRDefault="00A81C77" w:rsidP="0041013A">
      <w:pPr>
        <w:jc w:val="both"/>
        <w:rPr>
          <w:sz w:val="28"/>
        </w:rPr>
      </w:pPr>
      <w:r w:rsidRPr="00C530CC">
        <w:rPr>
          <w:b/>
          <w:sz w:val="28"/>
        </w:rPr>
        <w:t xml:space="preserve">Statutory Officer: </w:t>
      </w:r>
      <w:r w:rsidR="007805BE" w:rsidRPr="007805BE">
        <w:rPr>
          <w:bCs/>
          <w:sz w:val="28"/>
        </w:rPr>
        <w:t>Jessie Man</w:t>
      </w:r>
    </w:p>
    <w:p w14:paraId="0DF9499E" w14:textId="5688ED82" w:rsidR="001454D1" w:rsidRDefault="00A81C77" w:rsidP="0041013A">
      <w:pPr>
        <w:jc w:val="both"/>
      </w:pPr>
      <w:r w:rsidRPr="00C530CC">
        <w:t xml:space="preserve">Signed </w:t>
      </w:r>
      <w:r w:rsidR="006A5B0A">
        <w:t>on behalf of</w:t>
      </w:r>
      <w:r w:rsidR="006A5B0A" w:rsidRPr="00C530CC">
        <w:t xml:space="preserve"> </w:t>
      </w:r>
      <w:r w:rsidRPr="00C530CC">
        <w:t>the Chief Financial Officer</w:t>
      </w:r>
    </w:p>
    <w:p w14:paraId="54EA7B3D" w14:textId="02933C30" w:rsidR="00A81C77" w:rsidRDefault="00A81C77" w:rsidP="007805BE">
      <w:pPr>
        <w:jc w:val="both"/>
        <w:rPr>
          <w:b/>
          <w:sz w:val="28"/>
        </w:rPr>
      </w:pPr>
      <w:r w:rsidRPr="00C530CC">
        <w:rPr>
          <w:b/>
          <w:sz w:val="28"/>
        </w:rPr>
        <w:t>Date</w:t>
      </w:r>
      <w:r w:rsidRPr="00555FCD">
        <w:rPr>
          <w:b/>
          <w:sz w:val="28"/>
        </w:rPr>
        <w:t xml:space="preserve">: </w:t>
      </w:r>
      <w:r w:rsidR="004D0E23" w:rsidRPr="001E57E2">
        <w:rPr>
          <w:b/>
          <w:sz w:val="28"/>
        </w:rPr>
        <w:t>8</w:t>
      </w:r>
      <w:r w:rsidR="00A16EA6" w:rsidRPr="00555FCD">
        <w:rPr>
          <w:b/>
          <w:sz w:val="28"/>
        </w:rPr>
        <w:t xml:space="preserve"> </w:t>
      </w:r>
      <w:r w:rsidR="00A16EA6">
        <w:rPr>
          <w:b/>
          <w:sz w:val="28"/>
        </w:rPr>
        <w:t>November</w:t>
      </w:r>
      <w:r w:rsidR="006A5B0A">
        <w:rPr>
          <w:b/>
          <w:sz w:val="28"/>
        </w:rPr>
        <w:t xml:space="preserve"> 2023</w:t>
      </w:r>
    </w:p>
    <w:p w14:paraId="7F4FE61E" w14:textId="77777777" w:rsidR="007805BE" w:rsidRPr="00C530CC" w:rsidRDefault="007805BE" w:rsidP="007805BE">
      <w:pPr>
        <w:jc w:val="both"/>
        <w:rPr>
          <w:sz w:val="28"/>
        </w:rPr>
      </w:pPr>
    </w:p>
    <w:p w14:paraId="4286A668" w14:textId="3AA19F0C" w:rsidR="00A81C77" w:rsidRDefault="00A81C77" w:rsidP="0041013A">
      <w:pPr>
        <w:jc w:val="both"/>
        <w:rPr>
          <w:b/>
          <w:sz w:val="28"/>
        </w:rPr>
      </w:pPr>
      <w:r w:rsidRPr="00C530CC">
        <w:rPr>
          <w:b/>
          <w:sz w:val="28"/>
        </w:rPr>
        <w:t>Statutory Officer:</w:t>
      </w:r>
      <w:r w:rsidR="007805BE">
        <w:rPr>
          <w:b/>
          <w:sz w:val="28"/>
        </w:rPr>
        <w:t xml:space="preserve"> </w:t>
      </w:r>
      <w:r w:rsidR="007805BE" w:rsidRPr="007805BE">
        <w:rPr>
          <w:bCs/>
          <w:sz w:val="28"/>
        </w:rPr>
        <w:t xml:space="preserve">Melissa </w:t>
      </w:r>
      <w:proofErr w:type="spellStart"/>
      <w:r w:rsidR="007805BE" w:rsidRPr="007805BE">
        <w:rPr>
          <w:bCs/>
          <w:sz w:val="28"/>
        </w:rPr>
        <w:t>Trichard</w:t>
      </w:r>
      <w:proofErr w:type="spellEnd"/>
    </w:p>
    <w:p w14:paraId="32AF2B45" w14:textId="72C51F3E" w:rsidR="00520243" w:rsidRPr="00CD4E69" w:rsidRDefault="00520243" w:rsidP="0041013A">
      <w:pPr>
        <w:jc w:val="both"/>
        <w:rPr>
          <w:bCs/>
          <w:szCs w:val="24"/>
        </w:rPr>
      </w:pPr>
      <w:r w:rsidRPr="00CD4E69">
        <w:rPr>
          <w:bCs/>
          <w:szCs w:val="24"/>
        </w:rPr>
        <w:t>Signed o</w:t>
      </w:r>
      <w:r w:rsidR="009A279F">
        <w:rPr>
          <w:bCs/>
          <w:szCs w:val="24"/>
        </w:rPr>
        <w:t>n</w:t>
      </w:r>
      <w:r w:rsidRPr="00CD4E69">
        <w:rPr>
          <w:bCs/>
          <w:szCs w:val="24"/>
        </w:rPr>
        <w:t xml:space="preserve"> behalf of the Monitoring Officer</w:t>
      </w:r>
    </w:p>
    <w:p w14:paraId="78988339" w14:textId="0F4C70E2" w:rsidR="00A81C77" w:rsidRDefault="003905DD" w:rsidP="007805BE">
      <w:pPr>
        <w:jc w:val="both"/>
        <w:rPr>
          <w:b/>
          <w:sz w:val="28"/>
        </w:rPr>
      </w:pPr>
      <w:r>
        <w:rPr>
          <w:b/>
          <w:sz w:val="28"/>
        </w:rPr>
        <w:t>D</w:t>
      </w:r>
      <w:r w:rsidR="00A81C77" w:rsidRPr="00C530CC">
        <w:rPr>
          <w:b/>
          <w:sz w:val="28"/>
        </w:rPr>
        <w:t xml:space="preserve">ate: </w:t>
      </w:r>
      <w:r w:rsidR="009322E6" w:rsidRPr="001E57E2">
        <w:rPr>
          <w:b/>
          <w:sz w:val="28"/>
        </w:rPr>
        <w:t>8</w:t>
      </w:r>
      <w:r w:rsidR="00A16EA6" w:rsidRPr="00555FCD">
        <w:rPr>
          <w:b/>
          <w:sz w:val="28"/>
        </w:rPr>
        <w:t xml:space="preserve"> </w:t>
      </w:r>
      <w:r w:rsidR="00A16EA6">
        <w:rPr>
          <w:b/>
          <w:sz w:val="28"/>
        </w:rPr>
        <w:t>November</w:t>
      </w:r>
      <w:r w:rsidR="003E3B2E">
        <w:rPr>
          <w:b/>
          <w:sz w:val="28"/>
        </w:rPr>
        <w:t xml:space="preserve"> 2023</w:t>
      </w:r>
    </w:p>
    <w:p w14:paraId="7F49E87B" w14:textId="77777777" w:rsidR="007805BE" w:rsidRPr="00C530CC" w:rsidRDefault="007805BE" w:rsidP="007805BE">
      <w:pPr>
        <w:jc w:val="both"/>
        <w:rPr>
          <w:sz w:val="28"/>
        </w:rPr>
      </w:pPr>
    </w:p>
    <w:p w14:paraId="0DEF1E3E" w14:textId="4C45B2BD" w:rsidR="00A81C77" w:rsidRPr="00C530CC" w:rsidRDefault="00A81C77" w:rsidP="0041013A">
      <w:pPr>
        <w:jc w:val="both"/>
        <w:rPr>
          <w:sz w:val="28"/>
        </w:rPr>
      </w:pPr>
      <w:r w:rsidRPr="00C530CC">
        <w:rPr>
          <w:b/>
          <w:sz w:val="28"/>
        </w:rPr>
        <w:t xml:space="preserve">Chief Officer: </w:t>
      </w:r>
      <w:r w:rsidR="00AC6D8E" w:rsidRPr="007805BE">
        <w:rPr>
          <w:bCs/>
          <w:sz w:val="28"/>
        </w:rPr>
        <w:t>Dipti Patel</w:t>
      </w:r>
      <w:r w:rsidR="00AC6D8E">
        <w:rPr>
          <w:b/>
          <w:sz w:val="28"/>
        </w:rPr>
        <w:t xml:space="preserve"> </w:t>
      </w:r>
    </w:p>
    <w:p w14:paraId="0DCBB9F6" w14:textId="324A9218" w:rsidR="001454D1" w:rsidRDefault="00A81C77" w:rsidP="0041013A">
      <w:pPr>
        <w:jc w:val="both"/>
      </w:pPr>
      <w:r w:rsidRPr="00C530CC">
        <w:t>Signed by the Corporate Director</w:t>
      </w:r>
    </w:p>
    <w:p w14:paraId="02A32440" w14:textId="7DCEABE4" w:rsidR="00A81C77" w:rsidRPr="00C530CC" w:rsidRDefault="00A81C77" w:rsidP="00CD4E69">
      <w:pPr>
        <w:jc w:val="both"/>
        <w:rPr>
          <w:sz w:val="28"/>
        </w:rPr>
      </w:pPr>
      <w:r w:rsidRPr="00C530CC">
        <w:rPr>
          <w:b/>
          <w:sz w:val="28"/>
        </w:rPr>
        <w:t xml:space="preserve">Date: </w:t>
      </w:r>
      <w:r w:rsidR="00AC6D8E">
        <w:rPr>
          <w:b/>
          <w:sz w:val="28"/>
        </w:rPr>
        <w:t>8 November 2023</w:t>
      </w:r>
    </w:p>
    <w:p w14:paraId="14999958" w14:textId="77777777" w:rsidR="001454D1" w:rsidRDefault="001454D1" w:rsidP="0041013A">
      <w:pPr>
        <w:jc w:val="both"/>
        <w:rPr>
          <w:b/>
          <w:sz w:val="28"/>
        </w:rPr>
      </w:pPr>
    </w:p>
    <w:p w14:paraId="77481B60" w14:textId="5A64134F" w:rsidR="00ED55B5" w:rsidRDefault="00A81C77" w:rsidP="0041013A">
      <w:pPr>
        <w:jc w:val="both"/>
        <w:rPr>
          <w:b/>
          <w:sz w:val="28"/>
        </w:rPr>
      </w:pPr>
      <w:r w:rsidRPr="00C530CC">
        <w:rPr>
          <w:b/>
          <w:sz w:val="28"/>
        </w:rPr>
        <w:t xml:space="preserve">Head of Procurement: </w:t>
      </w:r>
      <w:r w:rsidR="007805BE" w:rsidRPr="007805BE">
        <w:rPr>
          <w:bCs/>
          <w:sz w:val="28"/>
        </w:rPr>
        <w:t>Nimesh Mehta</w:t>
      </w:r>
    </w:p>
    <w:p w14:paraId="66D68602" w14:textId="375902F8" w:rsidR="00A81C77" w:rsidRDefault="00A81C77" w:rsidP="0041013A">
      <w:pPr>
        <w:jc w:val="both"/>
      </w:pPr>
      <w:r w:rsidRPr="00C530CC">
        <w:t>Signed on behalf of</w:t>
      </w:r>
      <w:r w:rsidR="00823326" w:rsidRPr="00C530CC">
        <w:t xml:space="preserve"> </w:t>
      </w:r>
      <w:r w:rsidRPr="00C530CC">
        <w:t>the Head of Procurement</w:t>
      </w:r>
    </w:p>
    <w:p w14:paraId="4EDFE02E" w14:textId="47DF76CD" w:rsidR="00A81C77" w:rsidRDefault="00A81C77" w:rsidP="007805BE">
      <w:pPr>
        <w:jc w:val="both"/>
        <w:rPr>
          <w:b/>
          <w:sz w:val="28"/>
        </w:rPr>
      </w:pPr>
      <w:r w:rsidRPr="00C530CC">
        <w:rPr>
          <w:b/>
          <w:sz w:val="28"/>
        </w:rPr>
        <w:t xml:space="preserve">Date:  </w:t>
      </w:r>
      <w:r w:rsidR="00A957C8" w:rsidRPr="00A957C8">
        <w:rPr>
          <w:b/>
          <w:sz w:val="28"/>
        </w:rPr>
        <w:t>8</w:t>
      </w:r>
      <w:r w:rsidR="00F533F2" w:rsidRPr="00A957C8">
        <w:rPr>
          <w:b/>
          <w:sz w:val="28"/>
        </w:rPr>
        <w:t xml:space="preserve"> </w:t>
      </w:r>
      <w:r w:rsidR="00F533F2">
        <w:rPr>
          <w:b/>
          <w:sz w:val="28"/>
        </w:rPr>
        <w:t xml:space="preserve">November </w:t>
      </w:r>
      <w:r w:rsidR="003E3B2E">
        <w:rPr>
          <w:b/>
          <w:sz w:val="28"/>
        </w:rPr>
        <w:t>2023</w:t>
      </w:r>
    </w:p>
    <w:p w14:paraId="62DD6CDD" w14:textId="77777777" w:rsidR="007805BE" w:rsidRPr="007805BE" w:rsidRDefault="007805BE" w:rsidP="007805BE">
      <w:pPr>
        <w:jc w:val="both"/>
      </w:pPr>
    </w:p>
    <w:p w14:paraId="7DA81C4C" w14:textId="798447A2" w:rsidR="00A81C77" w:rsidRPr="00C530CC" w:rsidRDefault="00A81C77" w:rsidP="0041013A">
      <w:pPr>
        <w:jc w:val="both"/>
        <w:rPr>
          <w:sz w:val="28"/>
        </w:rPr>
      </w:pPr>
      <w:r w:rsidRPr="00C530CC">
        <w:rPr>
          <w:b/>
          <w:sz w:val="28"/>
        </w:rPr>
        <w:t xml:space="preserve">Head of Internal Audit: </w:t>
      </w:r>
      <w:r w:rsidR="007805BE" w:rsidRPr="007805BE">
        <w:rPr>
          <w:bCs/>
          <w:sz w:val="28"/>
        </w:rPr>
        <w:t>Neale Burns</w:t>
      </w:r>
    </w:p>
    <w:p w14:paraId="35529CC6" w14:textId="41657A23" w:rsidR="00A81C77" w:rsidRDefault="00A81C77" w:rsidP="0041013A">
      <w:pPr>
        <w:jc w:val="both"/>
      </w:pPr>
      <w:r w:rsidRPr="00C530CC">
        <w:t>Signed on behalf o</w:t>
      </w:r>
      <w:r w:rsidR="00926469" w:rsidRPr="00C530CC">
        <w:t xml:space="preserve">f </w:t>
      </w:r>
      <w:r w:rsidRPr="00C530CC">
        <w:t>Head of Internal Audit</w:t>
      </w:r>
    </w:p>
    <w:p w14:paraId="6426BDBD" w14:textId="572A0C00" w:rsidR="00A81C77" w:rsidRPr="007805BE" w:rsidRDefault="00A81C77" w:rsidP="007805BE">
      <w:pPr>
        <w:jc w:val="both"/>
      </w:pPr>
      <w:r w:rsidRPr="00F42E1E">
        <w:rPr>
          <w:sz w:val="28"/>
        </w:rPr>
        <w:t>Date:</w:t>
      </w:r>
      <w:r w:rsidR="00BD5031" w:rsidRPr="00555FCD">
        <w:rPr>
          <w:sz w:val="28"/>
        </w:rPr>
        <w:t xml:space="preserve"> </w:t>
      </w:r>
      <w:r w:rsidR="00655395" w:rsidRPr="009A279F">
        <w:rPr>
          <w:b/>
          <w:bCs/>
          <w:sz w:val="28"/>
        </w:rPr>
        <w:t>8</w:t>
      </w:r>
      <w:r w:rsidR="00F533F2" w:rsidRPr="009A279F">
        <w:rPr>
          <w:b/>
          <w:bCs/>
          <w:sz w:val="28"/>
        </w:rPr>
        <w:t xml:space="preserve"> November</w:t>
      </w:r>
      <w:r w:rsidR="001454D1" w:rsidRPr="009A279F">
        <w:rPr>
          <w:b/>
          <w:bCs/>
          <w:sz w:val="28"/>
        </w:rPr>
        <w:t xml:space="preserve"> 2023</w:t>
      </w:r>
    </w:p>
    <w:p w14:paraId="3D49F259" w14:textId="77777777" w:rsidR="00A81C77" w:rsidRDefault="00A81C77" w:rsidP="0041013A">
      <w:pPr>
        <w:jc w:val="both"/>
      </w:pPr>
    </w:p>
    <w:p w14:paraId="58E30F61" w14:textId="6D681636" w:rsidR="00A81C77" w:rsidRPr="00F42E1E" w:rsidRDefault="00A81C77" w:rsidP="0041013A">
      <w:pPr>
        <w:jc w:val="both"/>
      </w:pPr>
      <w:r w:rsidRPr="005A6BCB">
        <w:rPr>
          <w:b/>
          <w:bCs/>
          <w:sz w:val="28"/>
        </w:rPr>
        <w:t xml:space="preserve">Has the Portfolio Holder(s) been consulted?  Yes </w:t>
      </w:r>
      <w:sdt>
        <w:sdtPr>
          <w:rPr>
            <w:b/>
            <w:bCs/>
            <w:sz w:val="28"/>
          </w:rPr>
          <w:id w:val="-506674679"/>
          <w14:checkbox>
            <w14:checked w14:val="1"/>
            <w14:checkedState w14:val="2612" w14:font="MS Gothic"/>
            <w14:uncheckedState w14:val="2610" w14:font="MS Gothic"/>
          </w14:checkbox>
        </w:sdtPr>
        <w:sdtEndPr/>
        <w:sdtContent>
          <w:r w:rsidR="0041013A">
            <w:rPr>
              <w:rFonts w:ascii="MS Gothic" w:eastAsia="MS Gothic" w:hAnsi="MS Gothic" w:hint="eastAsia"/>
              <w:b/>
              <w:bCs/>
              <w:sz w:val="28"/>
            </w:rPr>
            <w:t>☒</w:t>
          </w:r>
        </w:sdtContent>
      </w:sdt>
      <w:r w:rsidRPr="005A6BCB">
        <w:rPr>
          <w:b/>
          <w:bCs/>
          <w:sz w:val="28"/>
        </w:rPr>
        <w:t xml:space="preserve">     </w:t>
      </w:r>
    </w:p>
    <w:p w14:paraId="19D1EE48" w14:textId="7795EBE6" w:rsidR="00A81C77" w:rsidRPr="00435B5D" w:rsidRDefault="00A81C77" w:rsidP="0041013A">
      <w:pPr>
        <w:pStyle w:val="Heading2"/>
        <w:spacing w:before="480" w:after="240"/>
        <w:jc w:val="both"/>
      </w:pPr>
      <w:r>
        <w:lastRenderedPageBreak/>
        <w:t>Mandatory Checks</w:t>
      </w:r>
    </w:p>
    <w:p w14:paraId="25AF052B" w14:textId="764F4468" w:rsidR="00A81C77" w:rsidRPr="00A406F3" w:rsidRDefault="00A81C77" w:rsidP="0041013A">
      <w:pPr>
        <w:pStyle w:val="Heading3"/>
        <w:ind w:left="0" w:firstLine="0"/>
      </w:pPr>
      <w:r w:rsidRPr="003313EA">
        <w:t xml:space="preserve">Ward Councillors </w:t>
      </w:r>
      <w:r>
        <w:t xml:space="preserve">notified:  </w:t>
      </w:r>
      <w:r w:rsidRPr="00A406F3">
        <w:t>NO</w:t>
      </w:r>
      <w:r w:rsidR="009C0655">
        <w:t xml:space="preserve"> </w:t>
      </w:r>
      <w:r w:rsidRPr="00333FAA">
        <w:t xml:space="preserve">as it impacts on all </w:t>
      </w:r>
      <w:proofErr w:type="gramStart"/>
      <w:r w:rsidRPr="00333FAA">
        <w:t>Wards</w:t>
      </w:r>
      <w:proofErr w:type="gramEnd"/>
      <w:r w:rsidRPr="00A406F3">
        <w:t xml:space="preserve"> </w:t>
      </w:r>
    </w:p>
    <w:p w14:paraId="524B3B7C" w14:textId="60E51A76" w:rsidR="00A81C77" w:rsidRDefault="00A81C77" w:rsidP="003F61BC">
      <w:pPr>
        <w:pStyle w:val="Heading3"/>
        <w:spacing w:before="240"/>
      </w:pPr>
      <w:proofErr w:type="spellStart"/>
      <w:r w:rsidRPr="00202D79">
        <w:t>EqIA</w:t>
      </w:r>
      <w:proofErr w:type="spellEnd"/>
      <w:r w:rsidRPr="00202D79">
        <w:t xml:space="preserve"> carried out:</w:t>
      </w:r>
      <w:r>
        <w:t xml:space="preserve">  </w:t>
      </w:r>
      <w:r w:rsidR="00520243">
        <w:t>Yes</w:t>
      </w:r>
    </w:p>
    <w:p w14:paraId="64D7C37F" w14:textId="7D7CDDE2" w:rsidR="00520243" w:rsidRDefault="00520243" w:rsidP="0041013A">
      <w:pPr>
        <w:jc w:val="both"/>
      </w:pPr>
    </w:p>
    <w:p w14:paraId="3A591240" w14:textId="54E3AEE9" w:rsidR="00520243" w:rsidRDefault="00520243" w:rsidP="0041013A">
      <w:pPr>
        <w:jc w:val="both"/>
      </w:pPr>
      <w:r>
        <w:t xml:space="preserve">There will be equalities implications as set out in the Equalities Implications section above. </w:t>
      </w:r>
    </w:p>
    <w:p w14:paraId="2BFE1736" w14:textId="77777777" w:rsidR="00A81C77" w:rsidRDefault="00A81C77" w:rsidP="0041013A">
      <w:pPr>
        <w:pStyle w:val="Heading2"/>
        <w:spacing w:before="480" w:after="240"/>
        <w:jc w:val="both"/>
      </w:pPr>
      <w:r>
        <w:t>Section 4 - Contact Details and Background Papers</w:t>
      </w:r>
    </w:p>
    <w:p w14:paraId="4DCD37B3" w14:textId="2C022BA5" w:rsidR="00A81C77" w:rsidRDefault="00A81C77" w:rsidP="0041013A">
      <w:pPr>
        <w:pStyle w:val="Infotext"/>
        <w:spacing w:after="240"/>
        <w:jc w:val="both"/>
        <w:rPr>
          <w:bCs/>
        </w:rPr>
      </w:pPr>
      <w:r w:rsidRPr="004E47FC">
        <w:rPr>
          <w:b/>
        </w:rPr>
        <w:t>Contact:</w:t>
      </w:r>
      <w:r w:rsidR="00F26A2A">
        <w:rPr>
          <w:b/>
        </w:rPr>
        <w:t xml:space="preserve"> </w:t>
      </w:r>
      <w:r w:rsidR="001F4B44" w:rsidRPr="005E158A">
        <w:rPr>
          <w:bCs/>
        </w:rPr>
        <w:t xml:space="preserve">Dalton Cenac </w:t>
      </w:r>
      <w:r w:rsidR="00102D84" w:rsidRPr="005E158A">
        <w:rPr>
          <w:bCs/>
        </w:rPr>
        <w:t xml:space="preserve">/ </w:t>
      </w:r>
      <w:r w:rsidR="001F4B44" w:rsidRPr="005E158A">
        <w:rPr>
          <w:bCs/>
        </w:rPr>
        <w:t xml:space="preserve">Interim Head of Traffic, Highways and Asset Management </w:t>
      </w:r>
      <w:hyperlink r:id="rId11" w:history="1">
        <w:r w:rsidR="00102D84" w:rsidRPr="005E158A">
          <w:rPr>
            <w:rStyle w:val="Hyperlink"/>
            <w:bCs/>
          </w:rPr>
          <w:t>dalton.cenac@harrow.gov.uk</w:t>
        </w:r>
      </w:hyperlink>
    </w:p>
    <w:p w14:paraId="41B4778E" w14:textId="4E96D599" w:rsidR="00A81C77" w:rsidRPr="00842757" w:rsidRDefault="00A81C77" w:rsidP="0041013A">
      <w:pPr>
        <w:pStyle w:val="Infotext"/>
        <w:spacing w:after="240"/>
        <w:jc w:val="both"/>
        <w:rPr>
          <w:rFonts w:ascii="Calibri" w:hAnsi="Calibri"/>
          <w:szCs w:val="24"/>
          <w:lang w:eastAsia="en-GB"/>
        </w:rPr>
      </w:pPr>
      <w:r w:rsidRPr="004E47FC">
        <w:rPr>
          <w:b/>
        </w:rPr>
        <w:t xml:space="preserve">Background Papers: </w:t>
      </w:r>
      <w:r>
        <w:rPr>
          <w:b/>
        </w:rPr>
        <w:t xml:space="preserve"> </w:t>
      </w:r>
      <w:r w:rsidR="004624B8" w:rsidRPr="005E158A">
        <w:rPr>
          <w:bCs/>
        </w:rPr>
        <w:t>None</w:t>
      </w:r>
    </w:p>
    <w:p w14:paraId="435B668A" w14:textId="025D8A64" w:rsidR="00A81C77" w:rsidRPr="007C0DC3" w:rsidRDefault="00A81C77" w:rsidP="0041013A">
      <w:pPr>
        <w:pStyle w:val="Infotext"/>
        <w:spacing w:before="480"/>
        <w:jc w:val="both"/>
        <w:rPr>
          <w:rFonts w:ascii="Arial Black" w:hAnsi="Arial Black"/>
        </w:rPr>
      </w:pPr>
      <w:r>
        <w:rPr>
          <w:rFonts w:ascii="Arial Black" w:hAnsi="Arial Black"/>
        </w:rPr>
        <w:t>Call-in w</w:t>
      </w:r>
      <w:r w:rsidRPr="007C0DC3">
        <w:rPr>
          <w:rFonts w:ascii="Arial Black" w:hAnsi="Arial Black"/>
        </w:rPr>
        <w:t>aived by the Chair of Overview and Scrutiny Committee</w:t>
      </w:r>
      <w:r w:rsidR="00FB246C">
        <w:rPr>
          <w:rFonts w:ascii="Arial Black" w:hAnsi="Arial Black"/>
        </w:rPr>
        <w:t xml:space="preserve"> - NO</w:t>
      </w:r>
    </w:p>
    <w:p w14:paraId="70DABFC5" w14:textId="77777777" w:rsidR="00FB384F" w:rsidRDefault="00FB384F" w:rsidP="0041013A">
      <w:pPr>
        <w:jc w:val="both"/>
      </w:pPr>
    </w:p>
    <w:sectPr w:rsidR="00FB384F">
      <w:headerReference w:type="even" r:id="rId12"/>
      <w:headerReference w:type="default" r:id="rId13"/>
      <w:footerReference w:type="even" r:id="rId14"/>
      <w:footerReference w:type="default" r:id="rId15"/>
      <w:headerReference w:type="first" r:id="rId16"/>
      <w:footerReference w:type="first" r:id="rId17"/>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8E20C" w14:textId="77777777" w:rsidR="00860315" w:rsidRDefault="00860315">
      <w:r>
        <w:separator/>
      </w:r>
    </w:p>
  </w:endnote>
  <w:endnote w:type="continuationSeparator" w:id="0">
    <w:p w14:paraId="0FA12AE1" w14:textId="77777777" w:rsidR="00860315" w:rsidRDefault="00860315">
      <w:r>
        <w:continuationSeparator/>
      </w:r>
    </w:p>
  </w:endnote>
  <w:endnote w:type="continuationNotice" w:id="1">
    <w:p w14:paraId="7662C885" w14:textId="77777777" w:rsidR="00860315" w:rsidRDefault="008603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66EDB" w14:textId="77777777" w:rsidR="007F6F91" w:rsidRDefault="007F6F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0569E" w14:textId="77777777" w:rsidR="007F6F91" w:rsidRDefault="007F6F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BD8A7" w14:textId="77777777" w:rsidR="007F6F91" w:rsidRDefault="007F6F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47561" w14:textId="77777777" w:rsidR="00860315" w:rsidRDefault="00860315">
      <w:r>
        <w:separator/>
      </w:r>
    </w:p>
  </w:footnote>
  <w:footnote w:type="continuationSeparator" w:id="0">
    <w:p w14:paraId="0C6579BB" w14:textId="77777777" w:rsidR="00860315" w:rsidRDefault="00860315">
      <w:r>
        <w:continuationSeparator/>
      </w:r>
    </w:p>
  </w:footnote>
  <w:footnote w:type="continuationNotice" w:id="1">
    <w:p w14:paraId="6FF1B43D" w14:textId="77777777" w:rsidR="00860315" w:rsidRDefault="008603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9C66B" w14:textId="77777777" w:rsidR="007F6F91" w:rsidRDefault="007F6F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A5B00" w14:textId="0A7B99CF" w:rsidR="007F6F91" w:rsidRDefault="007F6F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162AE" w14:textId="77777777" w:rsidR="007F6F91" w:rsidRDefault="007F6F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28E9D0E"/>
    <w:multiLevelType w:val="hybridMultilevel"/>
    <w:tmpl w:val="FFFFFFFF"/>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2388B5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D0E3B69"/>
    <w:multiLevelType w:val="hybridMultilevel"/>
    <w:tmpl w:val="FFFFFFFF"/>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5BDD76C"/>
    <w:multiLevelType w:val="hybridMultilevel"/>
    <w:tmpl w:val="FFFFFFFF"/>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31273B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741CA4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D9910C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DDA1CB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883066D"/>
    <w:multiLevelType w:val="hybridMultilevel"/>
    <w:tmpl w:val="3FB0A2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FD8FE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D8B1CBC"/>
    <w:multiLevelType w:val="hybridMultilevel"/>
    <w:tmpl w:val="0AB65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EC45CF"/>
    <w:multiLevelType w:val="multilevel"/>
    <w:tmpl w:val="C4A2FDC2"/>
    <w:lvl w:ilvl="0">
      <w:start w:val="2"/>
      <w:numFmt w:val="decimal"/>
      <w:lvlText w:val="%1"/>
      <w:lvlJc w:val="left"/>
      <w:pPr>
        <w:ind w:left="420" w:hanging="420"/>
      </w:pPr>
      <w:rPr>
        <w:rFonts w:hint="default"/>
      </w:rPr>
    </w:lvl>
    <w:lvl w:ilvl="1">
      <w:start w:val="2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00EE4E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03650B3"/>
    <w:multiLevelType w:val="hybridMultilevel"/>
    <w:tmpl w:val="FFFFFFFF"/>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7634CF"/>
    <w:multiLevelType w:val="hybridMultilevel"/>
    <w:tmpl w:val="33468E4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DC6E33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31610FD"/>
    <w:multiLevelType w:val="hybridMultilevel"/>
    <w:tmpl w:val="EF6A58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F85320"/>
    <w:multiLevelType w:val="hybridMultilevel"/>
    <w:tmpl w:val="F7CAA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0C0E1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B71B81"/>
    <w:multiLevelType w:val="hybridMultilevel"/>
    <w:tmpl w:val="CE4485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280AA1"/>
    <w:multiLevelType w:val="hybridMultilevel"/>
    <w:tmpl w:val="AFD875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2C2930"/>
    <w:multiLevelType w:val="hybridMultilevel"/>
    <w:tmpl w:val="771E408C"/>
    <w:lvl w:ilvl="0" w:tplc="3E98B9D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4635359B"/>
    <w:multiLevelType w:val="hybridMultilevel"/>
    <w:tmpl w:val="D28033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7E5E3D"/>
    <w:multiLevelType w:val="hybridMultilevel"/>
    <w:tmpl w:val="BC56E14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988E95C"/>
    <w:multiLevelType w:val="hybridMultilevel"/>
    <w:tmpl w:val="FFFFFFFF"/>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4BD73D19"/>
    <w:multiLevelType w:val="hybridMultilevel"/>
    <w:tmpl w:val="73ECA7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E8F7B53"/>
    <w:multiLevelType w:val="hybridMultilevel"/>
    <w:tmpl w:val="D41E3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9F3DB2"/>
    <w:multiLevelType w:val="hybridMultilevel"/>
    <w:tmpl w:val="C174FF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5614149"/>
    <w:multiLevelType w:val="hybridMultilevel"/>
    <w:tmpl w:val="7B9EF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C718EF"/>
    <w:multiLevelType w:val="hybridMultilevel"/>
    <w:tmpl w:val="66C62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172940"/>
    <w:multiLevelType w:val="hybridMultilevel"/>
    <w:tmpl w:val="598CC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1DA93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60CB1C62"/>
    <w:multiLevelType w:val="hybridMultilevel"/>
    <w:tmpl w:val="B4DCE3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62B3BDE"/>
    <w:multiLevelType w:val="hybridMultilevel"/>
    <w:tmpl w:val="F89AF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AF4BD1"/>
    <w:multiLevelType w:val="hybridMultilevel"/>
    <w:tmpl w:val="ADE6F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1BF7067"/>
    <w:multiLevelType w:val="hybridMultilevel"/>
    <w:tmpl w:val="9FDAD8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561FFF"/>
    <w:multiLevelType w:val="hybridMultilevel"/>
    <w:tmpl w:val="241E0F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A7C4820"/>
    <w:multiLevelType w:val="hybridMultilevel"/>
    <w:tmpl w:val="9140A8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5770342">
    <w:abstractNumId w:val="15"/>
  </w:num>
  <w:num w:numId="2" w16cid:durableId="1618678037">
    <w:abstractNumId w:val="20"/>
  </w:num>
  <w:num w:numId="3" w16cid:durableId="1958633995">
    <w:abstractNumId w:val="8"/>
  </w:num>
  <w:num w:numId="4" w16cid:durableId="345401872">
    <w:abstractNumId w:val="34"/>
  </w:num>
  <w:num w:numId="5" w16cid:durableId="664934989">
    <w:abstractNumId w:val="25"/>
  </w:num>
  <w:num w:numId="6" w16cid:durableId="1007948464">
    <w:abstractNumId w:val="24"/>
  </w:num>
  <w:num w:numId="7" w16cid:durableId="2105757417">
    <w:abstractNumId w:val="36"/>
  </w:num>
  <w:num w:numId="8" w16cid:durableId="1298416620">
    <w:abstractNumId w:val="16"/>
  </w:num>
  <w:num w:numId="9" w16cid:durableId="744570792">
    <w:abstractNumId w:val="16"/>
  </w:num>
  <w:num w:numId="10" w16cid:durableId="1287395171">
    <w:abstractNumId w:val="31"/>
  </w:num>
  <w:num w:numId="11" w16cid:durableId="13727004">
    <w:abstractNumId w:val="40"/>
  </w:num>
  <w:num w:numId="12" w16cid:durableId="535043133">
    <w:abstractNumId w:val="19"/>
  </w:num>
  <w:num w:numId="13" w16cid:durableId="1861813198">
    <w:abstractNumId w:val="21"/>
  </w:num>
  <w:num w:numId="14" w16cid:durableId="1355309153">
    <w:abstractNumId w:val="9"/>
  </w:num>
  <w:num w:numId="15" w16cid:durableId="2100519527">
    <w:abstractNumId w:val="23"/>
  </w:num>
  <w:num w:numId="16" w16cid:durableId="1957638075">
    <w:abstractNumId w:val="22"/>
  </w:num>
  <w:num w:numId="17" w16cid:durableId="1738936032">
    <w:abstractNumId w:val="29"/>
  </w:num>
  <w:num w:numId="18" w16cid:durableId="144247838">
    <w:abstractNumId w:val="27"/>
  </w:num>
  <w:num w:numId="19" w16cid:durableId="114519946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63178644">
    <w:abstractNumId w:val="12"/>
  </w:num>
  <w:num w:numId="21" w16cid:durableId="571506660">
    <w:abstractNumId w:val="17"/>
  </w:num>
  <w:num w:numId="22" w16cid:durableId="350882262">
    <w:abstractNumId w:val="35"/>
  </w:num>
  <w:num w:numId="23" w16cid:durableId="1270163275">
    <w:abstractNumId w:val="5"/>
  </w:num>
  <w:num w:numId="24" w16cid:durableId="1520775499">
    <w:abstractNumId w:val="0"/>
  </w:num>
  <w:num w:numId="25" w16cid:durableId="1485514247">
    <w:abstractNumId w:val="2"/>
  </w:num>
  <w:num w:numId="26" w16cid:durableId="509873728">
    <w:abstractNumId w:val="3"/>
  </w:num>
  <w:num w:numId="27" w16cid:durableId="1866400234">
    <w:abstractNumId w:val="10"/>
  </w:num>
  <w:num w:numId="28" w16cid:durableId="2058119955">
    <w:abstractNumId w:val="28"/>
  </w:num>
  <w:num w:numId="29" w16cid:durableId="312685978">
    <w:abstractNumId w:val="14"/>
  </w:num>
  <w:num w:numId="30" w16cid:durableId="505555723">
    <w:abstractNumId w:val="13"/>
  </w:num>
  <w:num w:numId="31" w16cid:durableId="58214314">
    <w:abstractNumId w:val="6"/>
  </w:num>
  <w:num w:numId="32" w16cid:durableId="1670522950">
    <w:abstractNumId w:val="30"/>
  </w:num>
  <w:num w:numId="33" w16cid:durableId="2114787662">
    <w:abstractNumId w:val="1"/>
  </w:num>
  <w:num w:numId="34" w16cid:durableId="1184708079">
    <w:abstractNumId w:val="7"/>
  </w:num>
  <w:num w:numId="35" w16cid:durableId="296644096">
    <w:abstractNumId w:val="32"/>
  </w:num>
  <w:num w:numId="36" w16cid:durableId="439765149">
    <w:abstractNumId w:val="37"/>
  </w:num>
  <w:num w:numId="37" w16cid:durableId="1135754167">
    <w:abstractNumId w:val="11"/>
  </w:num>
  <w:num w:numId="38" w16cid:durableId="1231503370">
    <w:abstractNumId w:val="4"/>
  </w:num>
  <w:num w:numId="39" w16cid:durableId="237524462">
    <w:abstractNumId w:val="33"/>
  </w:num>
  <w:num w:numId="40" w16cid:durableId="62339777">
    <w:abstractNumId w:val="26"/>
  </w:num>
  <w:num w:numId="41" w16cid:durableId="744494105">
    <w:abstractNumId w:val="39"/>
  </w:num>
  <w:num w:numId="42" w16cid:durableId="1062408877">
    <w:abstractNumId w:val="41"/>
  </w:num>
  <w:num w:numId="43" w16cid:durableId="1341737453">
    <w:abstractNumId w:val="38"/>
  </w:num>
  <w:num w:numId="44" w16cid:durableId="85080259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C77"/>
    <w:rsid w:val="000001BF"/>
    <w:rsid w:val="00000DDB"/>
    <w:rsid w:val="000021BE"/>
    <w:rsid w:val="00006BF1"/>
    <w:rsid w:val="00007331"/>
    <w:rsid w:val="00007337"/>
    <w:rsid w:val="0001016B"/>
    <w:rsid w:val="000108C2"/>
    <w:rsid w:val="00011B30"/>
    <w:rsid w:val="00012D8B"/>
    <w:rsid w:val="00014B79"/>
    <w:rsid w:val="00015472"/>
    <w:rsid w:val="0001779F"/>
    <w:rsid w:val="00017EA0"/>
    <w:rsid w:val="000215B4"/>
    <w:rsid w:val="00021F8B"/>
    <w:rsid w:val="00022110"/>
    <w:rsid w:val="00025A17"/>
    <w:rsid w:val="000272AE"/>
    <w:rsid w:val="00030449"/>
    <w:rsid w:val="00033D59"/>
    <w:rsid w:val="00040325"/>
    <w:rsid w:val="00042CE4"/>
    <w:rsid w:val="00042ECD"/>
    <w:rsid w:val="00042F96"/>
    <w:rsid w:val="00046199"/>
    <w:rsid w:val="00050264"/>
    <w:rsid w:val="00061578"/>
    <w:rsid w:val="0006175C"/>
    <w:rsid w:val="00061AB6"/>
    <w:rsid w:val="000625F8"/>
    <w:rsid w:val="00062F6D"/>
    <w:rsid w:val="00063FD2"/>
    <w:rsid w:val="00064C90"/>
    <w:rsid w:val="00067340"/>
    <w:rsid w:val="000703FB"/>
    <w:rsid w:val="00073027"/>
    <w:rsid w:val="00076ADD"/>
    <w:rsid w:val="00077956"/>
    <w:rsid w:val="00077E9A"/>
    <w:rsid w:val="000826E9"/>
    <w:rsid w:val="00083410"/>
    <w:rsid w:val="00083A4D"/>
    <w:rsid w:val="00086A8B"/>
    <w:rsid w:val="00090023"/>
    <w:rsid w:val="0009031F"/>
    <w:rsid w:val="000905F8"/>
    <w:rsid w:val="00092001"/>
    <w:rsid w:val="00092429"/>
    <w:rsid w:val="00094774"/>
    <w:rsid w:val="0009570D"/>
    <w:rsid w:val="00096C61"/>
    <w:rsid w:val="00097387"/>
    <w:rsid w:val="00097EFB"/>
    <w:rsid w:val="000A08E7"/>
    <w:rsid w:val="000A0FBC"/>
    <w:rsid w:val="000A30A5"/>
    <w:rsid w:val="000A3C31"/>
    <w:rsid w:val="000A5463"/>
    <w:rsid w:val="000B0535"/>
    <w:rsid w:val="000B23F9"/>
    <w:rsid w:val="000B30AB"/>
    <w:rsid w:val="000B30E7"/>
    <w:rsid w:val="000B3891"/>
    <w:rsid w:val="000B4E24"/>
    <w:rsid w:val="000C03D5"/>
    <w:rsid w:val="000C3A39"/>
    <w:rsid w:val="000C3B57"/>
    <w:rsid w:val="000C648B"/>
    <w:rsid w:val="000C7966"/>
    <w:rsid w:val="000D3BD1"/>
    <w:rsid w:val="000E1344"/>
    <w:rsid w:val="000F3C1F"/>
    <w:rsid w:val="000F4FC1"/>
    <w:rsid w:val="00100754"/>
    <w:rsid w:val="00102D84"/>
    <w:rsid w:val="00103A93"/>
    <w:rsid w:val="00104CAA"/>
    <w:rsid w:val="001058BD"/>
    <w:rsid w:val="00110699"/>
    <w:rsid w:val="00115BB6"/>
    <w:rsid w:val="001211F0"/>
    <w:rsid w:val="0012123C"/>
    <w:rsid w:val="00121F15"/>
    <w:rsid w:val="00123604"/>
    <w:rsid w:val="00123919"/>
    <w:rsid w:val="001246EE"/>
    <w:rsid w:val="00124DA1"/>
    <w:rsid w:val="00127AC6"/>
    <w:rsid w:val="00127C7C"/>
    <w:rsid w:val="0013050A"/>
    <w:rsid w:val="0013335D"/>
    <w:rsid w:val="00135581"/>
    <w:rsid w:val="001365F4"/>
    <w:rsid w:val="00136ADC"/>
    <w:rsid w:val="00141E4C"/>
    <w:rsid w:val="001431C1"/>
    <w:rsid w:val="001439F4"/>
    <w:rsid w:val="001454CD"/>
    <w:rsid w:val="001454D1"/>
    <w:rsid w:val="00150C08"/>
    <w:rsid w:val="00151F4D"/>
    <w:rsid w:val="0015350F"/>
    <w:rsid w:val="00155730"/>
    <w:rsid w:val="001579EC"/>
    <w:rsid w:val="00160257"/>
    <w:rsid w:val="00160FD5"/>
    <w:rsid w:val="001632B9"/>
    <w:rsid w:val="001635AB"/>
    <w:rsid w:val="00167C6E"/>
    <w:rsid w:val="00167F96"/>
    <w:rsid w:val="0017227E"/>
    <w:rsid w:val="001728E1"/>
    <w:rsid w:val="001740D3"/>
    <w:rsid w:val="00180DCB"/>
    <w:rsid w:val="0018222B"/>
    <w:rsid w:val="001823BE"/>
    <w:rsid w:val="00182660"/>
    <w:rsid w:val="001861F5"/>
    <w:rsid w:val="00191EAD"/>
    <w:rsid w:val="001A0161"/>
    <w:rsid w:val="001A0D5C"/>
    <w:rsid w:val="001A243B"/>
    <w:rsid w:val="001A7889"/>
    <w:rsid w:val="001B07AB"/>
    <w:rsid w:val="001B11ED"/>
    <w:rsid w:val="001B4420"/>
    <w:rsid w:val="001B4FC0"/>
    <w:rsid w:val="001B730B"/>
    <w:rsid w:val="001C15D1"/>
    <w:rsid w:val="001C3555"/>
    <w:rsid w:val="001C35F0"/>
    <w:rsid w:val="001C6A1A"/>
    <w:rsid w:val="001C6B5F"/>
    <w:rsid w:val="001C6FA4"/>
    <w:rsid w:val="001C710F"/>
    <w:rsid w:val="001C7795"/>
    <w:rsid w:val="001D01C7"/>
    <w:rsid w:val="001D1C3C"/>
    <w:rsid w:val="001D2765"/>
    <w:rsid w:val="001D73F7"/>
    <w:rsid w:val="001E2920"/>
    <w:rsid w:val="001E2A1C"/>
    <w:rsid w:val="001E2E3F"/>
    <w:rsid w:val="001E3ED5"/>
    <w:rsid w:val="001E5346"/>
    <w:rsid w:val="001E5771"/>
    <w:rsid w:val="001E57E2"/>
    <w:rsid w:val="001E749F"/>
    <w:rsid w:val="001F4B44"/>
    <w:rsid w:val="001F4F71"/>
    <w:rsid w:val="001F548D"/>
    <w:rsid w:val="001F5E34"/>
    <w:rsid w:val="001F646A"/>
    <w:rsid w:val="001F6C75"/>
    <w:rsid w:val="001F70B1"/>
    <w:rsid w:val="00201836"/>
    <w:rsid w:val="0020318B"/>
    <w:rsid w:val="00203D6B"/>
    <w:rsid w:val="002046A8"/>
    <w:rsid w:val="00205BD1"/>
    <w:rsid w:val="0020718F"/>
    <w:rsid w:val="0020768B"/>
    <w:rsid w:val="00210644"/>
    <w:rsid w:val="002109B5"/>
    <w:rsid w:val="00211441"/>
    <w:rsid w:val="00214742"/>
    <w:rsid w:val="00215D89"/>
    <w:rsid w:val="0021632D"/>
    <w:rsid w:val="00217143"/>
    <w:rsid w:val="00217383"/>
    <w:rsid w:val="0022476B"/>
    <w:rsid w:val="00225CC3"/>
    <w:rsid w:val="00226B85"/>
    <w:rsid w:val="002340FA"/>
    <w:rsid w:val="00236228"/>
    <w:rsid w:val="00236324"/>
    <w:rsid w:val="00240461"/>
    <w:rsid w:val="002427A9"/>
    <w:rsid w:val="0024289C"/>
    <w:rsid w:val="0024462A"/>
    <w:rsid w:val="00244D01"/>
    <w:rsid w:val="00245061"/>
    <w:rsid w:val="002467AE"/>
    <w:rsid w:val="00246DF7"/>
    <w:rsid w:val="002506D9"/>
    <w:rsid w:val="00252CF0"/>
    <w:rsid w:val="00253881"/>
    <w:rsid w:val="00255987"/>
    <w:rsid w:val="00261481"/>
    <w:rsid w:val="002617A3"/>
    <w:rsid w:val="00262840"/>
    <w:rsid w:val="0026492D"/>
    <w:rsid w:val="00265D29"/>
    <w:rsid w:val="0026600C"/>
    <w:rsid w:val="00267176"/>
    <w:rsid w:val="00267592"/>
    <w:rsid w:val="00267A59"/>
    <w:rsid w:val="00267E8E"/>
    <w:rsid w:val="00273FB5"/>
    <w:rsid w:val="00276E0B"/>
    <w:rsid w:val="002778DE"/>
    <w:rsid w:val="002823DA"/>
    <w:rsid w:val="00285CAB"/>
    <w:rsid w:val="00286097"/>
    <w:rsid w:val="002929E3"/>
    <w:rsid w:val="0029537B"/>
    <w:rsid w:val="00296083"/>
    <w:rsid w:val="00297662"/>
    <w:rsid w:val="002978F5"/>
    <w:rsid w:val="002A1D3C"/>
    <w:rsid w:val="002A3960"/>
    <w:rsid w:val="002A3DA1"/>
    <w:rsid w:val="002A5227"/>
    <w:rsid w:val="002A78A6"/>
    <w:rsid w:val="002B127A"/>
    <w:rsid w:val="002B24B2"/>
    <w:rsid w:val="002B3785"/>
    <w:rsid w:val="002B4905"/>
    <w:rsid w:val="002B52A3"/>
    <w:rsid w:val="002B6452"/>
    <w:rsid w:val="002B6834"/>
    <w:rsid w:val="002B6AF6"/>
    <w:rsid w:val="002C2D3F"/>
    <w:rsid w:val="002C3281"/>
    <w:rsid w:val="002C33F3"/>
    <w:rsid w:val="002C5624"/>
    <w:rsid w:val="002D4A9D"/>
    <w:rsid w:val="002D4AA1"/>
    <w:rsid w:val="002E14AB"/>
    <w:rsid w:val="002E2110"/>
    <w:rsid w:val="002E39F2"/>
    <w:rsid w:val="002E4430"/>
    <w:rsid w:val="002E4BE3"/>
    <w:rsid w:val="002F0949"/>
    <w:rsid w:val="002F27B0"/>
    <w:rsid w:val="002F2D3E"/>
    <w:rsid w:val="002F6FD7"/>
    <w:rsid w:val="00302779"/>
    <w:rsid w:val="003045EE"/>
    <w:rsid w:val="00305F82"/>
    <w:rsid w:val="00310A87"/>
    <w:rsid w:val="00313189"/>
    <w:rsid w:val="00313C78"/>
    <w:rsid w:val="00315D5C"/>
    <w:rsid w:val="00316A37"/>
    <w:rsid w:val="00316C87"/>
    <w:rsid w:val="00317314"/>
    <w:rsid w:val="00320482"/>
    <w:rsid w:val="003204E9"/>
    <w:rsid w:val="00327227"/>
    <w:rsid w:val="00330045"/>
    <w:rsid w:val="00330508"/>
    <w:rsid w:val="00330828"/>
    <w:rsid w:val="00330D4D"/>
    <w:rsid w:val="003318E5"/>
    <w:rsid w:val="00332C14"/>
    <w:rsid w:val="003356B1"/>
    <w:rsid w:val="0033684C"/>
    <w:rsid w:val="00336C6B"/>
    <w:rsid w:val="0034129E"/>
    <w:rsid w:val="00343D68"/>
    <w:rsid w:val="00347F5C"/>
    <w:rsid w:val="00350B33"/>
    <w:rsid w:val="00351F1E"/>
    <w:rsid w:val="003522A0"/>
    <w:rsid w:val="00353476"/>
    <w:rsid w:val="00353F58"/>
    <w:rsid w:val="003544B2"/>
    <w:rsid w:val="00355137"/>
    <w:rsid w:val="00355B06"/>
    <w:rsid w:val="00356C07"/>
    <w:rsid w:val="003610C3"/>
    <w:rsid w:val="003612F1"/>
    <w:rsid w:val="00364635"/>
    <w:rsid w:val="00365C5E"/>
    <w:rsid w:val="00370BCE"/>
    <w:rsid w:val="00373180"/>
    <w:rsid w:val="00375EDE"/>
    <w:rsid w:val="00375FE1"/>
    <w:rsid w:val="003804FC"/>
    <w:rsid w:val="003836DA"/>
    <w:rsid w:val="003905DD"/>
    <w:rsid w:val="00391BC8"/>
    <w:rsid w:val="00392943"/>
    <w:rsid w:val="00397FCB"/>
    <w:rsid w:val="003A1348"/>
    <w:rsid w:val="003A1511"/>
    <w:rsid w:val="003A2DFE"/>
    <w:rsid w:val="003A41E6"/>
    <w:rsid w:val="003A43DC"/>
    <w:rsid w:val="003A54D1"/>
    <w:rsid w:val="003A5B03"/>
    <w:rsid w:val="003A7E36"/>
    <w:rsid w:val="003B4001"/>
    <w:rsid w:val="003B4E4B"/>
    <w:rsid w:val="003B6029"/>
    <w:rsid w:val="003B6759"/>
    <w:rsid w:val="003C08E2"/>
    <w:rsid w:val="003C4225"/>
    <w:rsid w:val="003C7742"/>
    <w:rsid w:val="003D0497"/>
    <w:rsid w:val="003D1503"/>
    <w:rsid w:val="003D1D93"/>
    <w:rsid w:val="003D5C48"/>
    <w:rsid w:val="003D69ED"/>
    <w:rsid w:val="003D7093"/>
    <w:rsid w:val="003D74D1"/>
    <w:rsid w:val="003E036D"/>
    <w:rsid w:val="003E3B2E"/>
    <w:rsid w:val="003E3C94"/>
    <w:rsid w:val="003E46FC"/>
    <w:rsid w:val="003E4F28"/>
    <w:rsid w:val="003E666D"/>
    <w:rsid w:val="003E734C"/>
    <w:rsid w:val="003F0F2E"/>
    <w:rsid w:val="003F148C"/>
    <w:rsid w:val="003F29CC"/>
    <w:rsid w:val="003F4E75"/>
    <w:rsid w:val="003F61BC"/>
    <w:rsid w:val="003F6D8C"/>
    <w:rsid w:val="00401F3C"/>
    <w:rsid w:val="0040365D"/>
    <w:rsid w:val="00404428"/>
    <w:rsid w:val="00405EBD"/>
    <w:rsid w:val="00406488"/>
    <w:rsid w:val="004076B3"/>
    <w:rsid w:val="0041013A"/>
    <w:rsid w:val="00412A27"/>
    <w:rsid w:val="00414D8C"/>
    <w:rsid w:val="00414DF3"/>
    <w:rsid w:val="004170D9"/>
    <w:rsid w:val="00421B44"/>
    <w:rsid w:val="00421EF2"/>
    <w:rsid w:val="00424DC0"/>
    <w:rsid w:val="00426145"/>
    <w:rsid w:val="00430E0C"/>
    <w:rsid w:val="00431A54"/>
    <w:rsid w:val="0043617C"/>
    <w:rsid w:val="0044190D"/>
    <w:rsid w:val="00441D2D"/>
    <w:rsid w:val="00442BDB"/>
    <w:rsid w:val="004432D2"/>
    <w:rsid w:val="0044744F"/>
    <w:rsid w:val="00450CC3"/>
    <w:rsid w:val="004519BA"/>
    <w:rsid w:val="00451AB2"/>
    <w:rsid w:val="00452D32"/>
    <w:rsid w:val="00455E76"/>
    <w:rsid w:val="00456B60"/>
    <w:rsid w:val="00456FA5"/>
    <w:rsid w:val="00461D13"/>
    <w:rsid w:val="004624B8"/>
    <w:rsid w:val="00462628"/>
    <w:rsid w:val="00464219"/>
    <w:rsid w:val="00464E37"/>
    <w:rsid w:val="00465667"/>
    <w:rsid w:val="00466AFA"/>
    <w:rsid w:val="004700A6"/>
    <w:rsid w:val="004709E1"/>
    <w:rsid w:val="00471917"/>
    <w:rsid w:val="00472EEA"/>
    <w:rsid w:val="004740B4"/>
    <w:rsid w:val="004759BA"/>
    <w:rsid w:val="00475BFE"/>
    <w:rsid w:val="00476713"/>
    <w:rsid w:val="00482A3E"/>
    <w:rsid w:val="00483B04"/>
    <w:rsid w:val="00486648"/>
    <w:rsid w:val="0048742D"/>
    <w:rsid w:val="004906EC"/>
    <w:rsid w:val="00492B78"/>
    <w:rsid w:val="0049465B"/>
    <w:rsid w:val="004960A9"/>
    <w:rsid w:val="004A15AE"/>
    <w:rsid w:val="004A1C87"/>
    <w:rsid w:val="004A2244"/>
    <w:rsid w:val="004A3F80"/>
    <w:rsid w:val="004A5234"/>
    <w:rsid w:val="004B213C"/>
    <w:rsid w:val="004B2755"/>
    <w:rsid w:val="004B452C"/>
    <w:rsid w:val="004C05D4"/>
    <w:rsid w:val="004C0C72"/>
    <w:rsid w:val="004C14C2"/>
    <w:rsid w:val="004C1A98"/>
    <w:rsid w:val="004C1B97"/>
    <w:rsid w:val="004C2EBE"/>
    <w:rsid w:val="004C32EE"/>
    <w:rsid w:val="004C48E3"/>
    <w:rsid w:val="004D0E23"/>
    <w:rsid w:val="004D23BD"/>
    <w:rsid w:val="004D2B8E"/>
    <w:rsid w:val="004D3095"/>
    <w:rsid w:val="004D3131"/>
    <w:rsid w:val="004D63B0"/>
    <w:rsid w:val="004D6715"/>
    <w:rsid w:val="004E00FB"/>
    <w:rsid w:val="004E10E7"/>
    <w:rsid w:val="004E154A"/>
    <w:rsid w:val="004E2520"/>
    <w:rsid w:val="004E2C37"/>
    <w:rsid w:val="004E4399"/>
    <w:rsid w:val="004E5000"/>
    <w:rsid w:val="004E64D9"/>
    <w:rsid w:val="004E69A5"/>
    <w:rsid w:val="004E7C30"/>
    <w:rsid w:val="004F1881"/>
    <w:rsid w:val="004F1C04"/>
    <w:rsid w:val="004F4D88"/>
    <w:rsid w:val="004F6B08"/>
    <w:rsid w:val="004F726D"/>
    <w:rsid w:val="00501582"/>
    <w:rsid w:val="005055EC"/>
    <w:rsid w:val="00506258"/>
    <w:rsid w:val="005068C2"/>
    <w:rsid w:val="00507E12"/>
    <w:rsid w:val="00510883"/>
    <w:rsid w:val="00515445"/>
    <w:rsid w:val="00516FE3"/>
    <w:rsid w:val="00520243"/>
    <w:rsid w:val="00520395"/>
    <w:rsid w:val="005224B4"/>
    <w:rsid w:val="005313E2"/>
    <w:rsid w:val="0054084B"/>
    <w:rsid w:val="00542CB0"/>
    <w:rsid w:val="00542D22"/>
    <w:rsid w:val="00543E49"/>
    <w:rsid w:val="005465C0"/>
    <w:rsid w:val="00552DAE"/>
    <w:rsid w:val="0055358E"/>
    <w:rsid w:val="00553B39"/>
    <w:rsid w:val="00554F2B"/>
    <w:rsid w:val="00555FCD"/>
    <w:rsid w:val="00556F5A"/>
    <w:rsid w:val="00562EE9"/>
    <w:rsid w:val="00564FDA"/>
    <w:rsid w:val="005716BF"/>
    <w:rsid w:val="005720F2"/>
    <w:rsid w:val="00576BA4"/>
    <w:rsid w:val="00576BDD"/>
    <w:rsid w:val="00577C11"/>
    <w:rsid w:val="00577EC0"/>
    <w:rsid w:val="0058201C"/>
    <w:rsid w:val="005827F8"/>
    <w:rsid w:val="00584B6A"/>
    <w:rsid w:val="005914A6"/>
    <w:rsid w:val="00592011"/>
    <w:rsid w:val="00593921"/>
    <w:rsid w:val="00594EE3"/>
    <w:rsid w:val="005957F0"/>
    <w:rsid w:val="00596848"/>
    <w:rsid w:val="005A3BC1"/>
    <w:rsid w:val="005A508E"/>
    <w:rsid w:val="005A6165"/>
    <w:rsid w:val="005A69D8"/>
    <w:rsid w:val="005A717A"/>
    <w:rsid w:val="005B2B88"/>
    <w:rsid w:val="005B2F96"/>
    <w:rsid w:val="005B39A0"/>
    <w:rsid w:val="005B4DEE"/>
    <w:rsid w:val="005B54CE"/>
    <w:rsid w:val="005B7AFB"/>
    <w:rsid w:val="005D005F"/>
    <w:rsid w:val="005D007B"/>
    <w:rsid w:val="005D050A"/>
    <w:rsid w:val="005D223A"/>
    <w:rsid w:val="005D32F7"/>
    <w:rsid w:val="005D7D2E"/>
    <w:rsid w:val="005E158A"/>
    <w:rsid w:val="005E1606"/>
    <w:rsid w:val="005E41CE"/>
    <w:rsid w:val="005E52F9"/>
    <w:rsid w:val="005E5F37"/>
    <w:rsid w:val="005E72AB"/>
    <w:rsid w:val="005E79E0"/>
    <w:rsid w:val="005E7E9D"/>
    <w:rsid w:val="005F0044"/>
    <w:rsid w:val="005F38DA"/>
    <w:rsid w:val="005F3BB5"/>
    <w:rsid w:val="005F42CB"/>
    <w:rsid w:val="005F5A56"/>
    <w:rsid w:val="005F6D38"/>
    <w:rsid w:val="006000C3"/>
    <w:rsid w:val="00601F2D"/>
    <w:rsid w:val="00601F3E"/>
    <w:rsid w:val="00602ED7"/>
    <w:rsid w:val="006053A8"/>
    <w:rsid w:val="006078D9"/>
    <w:rsid w:val="00607F33"/>
    <w:rsid w:val="006106F7"/>
    <w:rsid w:val="00610F90"/>
    <w:rsid w:val="00611FD5"/>
    <w:rsid w:val="00612CF4"/>
    <w:rsid w:val="006151C7"/>
    <w:rsid w:val="00615311"/>
    <w:rsid w:val="006154F0"/>
    <w:rsid w:val="0061557E"/>
    <w:rsid w:val="00617C2D"/>
    <w:rsid w:val="006201A2"/>
    <w:rsid w:val="00620735"/>
    <w:rsid w:val="00625602"/>
    <w:rsid w:val="00631868"/>
    <w:rsid w:val="0063542C"/>
    <w:rsid w:val="0063554B"/>
    <w:rsid w:val="00635A91"/>
    <w:rsid w:val="006376AD"/>
    <w:rsid w:val="00637AA8"/>
    <w:rsid w:val="00637F61"/>
    <w:rsid w:val="00641EC3"/>
    <w:rsid w:val="00642419"/>
    <w:rsid w:val="006429A1"/>
    <w:rsid w:val="00642EC1"/>
    <w:rsid w:val="00643104"/>
    <w:rsid w:val="0064372F"/>
    <w:rsid w:val="0064385B"/>
    <w:rsid w:val="006457D6"/>
    <w:rsid w:val="00645A82"/>
    <w:rsid w:val="00653418"/>
    <w:rsid w:val="00653CF7"/>
    <w:rsid w:val="0065512A"/>
    <w:rsid w:val="00655395"/>
    <w:rsid w:val="006557FC"/>
    <w:rsid w:val="0066010C"/>
    <w:rsid w:val="00660B5A"/>
    <w:rsid w:val="00660D9A"/>
    <w:rsid w:val="006611C7"/>
    <w:rsid w:val="006622A3"/>
    <w:rsid w:val="006678A4"/>
    <w:rsid w:val="00667CCF"/>
    <w:rsid w:val="00667E0E"/>
    <w:rsid w:val="0067222A"/>
    <w:rsid w:val="00674234"/>
    <w:rsid w:val="006767C8"/>
    <w:rsid w:val="006811A2"/>
    <w:rsid w:val="0068305C"/>
    <w:rsid w:val="00683811"/>
    <w:rsid w:val="00684C6B"/>
    <w:rsid w:val="00685152"/>
    <w:rsid w:val="00687494"/>
    <w:rsid w:val="006914DD"/>
    <w:rsid w:val="006916DF"/>
    <w:rsid w:val="006917ED"/>
    <w:rsid w:val="00694366"/>
    <w:rsid w:val="006974AF"/>
    <w:rsid w:val="006A1679"/>
    <w:rsid w:val="006A228F"/>
    <w:rsid w:val="006A32E6"/>
    <w:rsid w:val="006A557A"/>
    <w:rsid w:val="006A5B0A"/>
    <w:rsid w:val="006A7674"/>
    <w:rsid w:val="006B2CE3"/>
    <w:rsid w:val="006B2EAC"/>
    <w:rsid w:val="006B7C25"/>
    <w:rsid w:val="006C1A3C"/>
    <w:rsid w:val="006C48EB"/>
    <w:rsid w:val="006C7127"/>
    <w:rsid w:val="006C7A53"/>
    <w:rsid w:val="006D0D92"/>
    <w:rsid w:val="006D132D"/>
    <w:rsid w:val="006D1DE6"/>
    <w:rsid w:val="006D2B6D"/>
    <w:rsid w:val="006D357B"/>
    <w:rsid w:val="006D70E3"/>
    <w:rsid w:val="006E4325"/>
    <w:rsid w:val="006E4A75"/>
    <w:rsid w:val="006E521F"/>
    <w:rsid w:val="006E6E85"/>
    <w:rsid w:val="006E70A8"/>
    <w:rsid w:val="006F0438"/>
    <w:rsid w:val="006F093E"/>
    <w:rsid w:val="006F301A"/>
    <w:rsid w:val="006F3A00"/>
    <w:rsid w:val="006F40CB"/>
    <w:rsid w:val="006F5362"/>
    <w:rsid w:val="006F59CB"/>
    <w:rsid w:val="006F6689"/>
    <w:rsid w:val="006F6D83"/>
    <w:rsid w:val="00704196"/>
    <w:rsid w:val="00704A92"/>
    <w:rsid w:val="0070624B"/>
    <w:rsid w:val="00710CF5"/>
    <w:rsid w:val="00711E17"/>
    <w:rsid w:val="00712C69"/>
    <w:rsid w:val="007140F5"/>
    <w:rsid w:val="00715F68"/>
    <w:rsid w:val="00716616"/>
    <w:rsid w:val="00720B30"/>
    <w:rsid w:val="00720ED7"/>
    <w:rsid w:val="007228DD"/>
    <w:rsid w:val="00722F46"/>
    <w:rsid w:val="007231DB"/>
    <w:rsid w:val="00723AB2"/>
    <w:rsid w:val="007245BE"/>
    <w:rsid w:val="0072486B"/>
    <w:rsid w:val="0072595A"/>
    <w:rsid w:val="007270F1"/>
    <w:rsid w:val="00734976"/>
    <w:rsid w:val="00735340"/>
    <w:rsid w:val="00740705"/>
    <w:rsid w:val="00744516"/>
    <w:rsid w:val="00744623"/>
    <w:rsid w:val="007452CC"/>
    <w:rsid w:val="0074634B"/>
    <w:rsid w:val="007468BC"/>
    <w:rsid w:val="00757416"/>
    <w:rsid w:val="007576D5"/>
    <w:rsid w:val="00762004"/>
    <w:rsid w:val="0076237E"/>
    <w:rsid w:val="00762AE9"/>
    <w:rsid w:val="00764A7F"/>
    <w:rsid w:val="007668B4"/>
    <w:rsid w:val="00766949"/>
    <w:rsid w:val="00771F56"/>
    <w:rsid w:val="00772D41"/>
    <w:rsid w:val="00772E5B"/>
    <w:rsid w:val="00775E82"/>
    <w:rsid w:val="0077694C"/>
    <w:rsid w:val="007805BE"/>
    <w:rsid w:val="007812BE"/>
    <w:rsid w:val="007820A2"/>
    <w:rsid w:val="0078259F"/>
    <w:rsid w:val="007826A1"/>
    <w:rsid w:val="007845FE"/>
    <w:rsid w:val="007870D0"/>
    <w:rsid w:val="00787341"/>
    <w:rsid w:val="0079234C"/>
    <w:rsid w:val="007937B5"/>
    <w:rsid w:val="00794757"/>
    <w:rsid w:val="007A170B"/>
    <w:rsid w:val="007A2F13"/>
    <w:rsid w:val="007A50A0"/>
    <w:rsid w:val="007A75DC"/>
    <w:rsid w:val="007B68E0"/>
    <w:rsid w:val="007B7079"/>
    <w:rsid w:val="007C18D5"/>
    <w:rsid w:val="007C4AFE"/>
    <w:rsid w:val="007C4E7E"/>
    <w:rsid w:val="007C70D5"/>
    <w:rsid w:val="007C75B4"/>
    <w:rsid w:val="007D0868"/>
    <w:rsid w:val="007D4595"/>
    <w:rsid w:val="007D75E8"/>
    <w:rsid w:val="007D7DE0"/>
    <w:rsid w:val="007D7F3E"/>
    <w:rsid w:val="007E0710"/>
    <w:rsid w:val="007E107D"/>
    <w:rsid w:val="007E14A3"/>
    <w:rsid w:val="007E22D8"/>
    <w:rsid w:val="007E3EB9"/>
    <w:rsid w:val="007E48A6"/>
    <w:rsid w:val="007E4E82"/>
    <w:rsid w:val="007E652C"/>
    <w:rsid w:val="007E67A1"/>
    <w:rsid w:val="007E76EB"/>
    <w:rsid w:val="007F11B0"/>
    <w:rsid w:val="007F1A48"/>
    <w:rsid w:val="007F29C2"/>
    <w:rsid w:val="007F2B9C"/>
    <w:rsid w:val="007F6F91"/>
    <w:rsid w:val="007F70CF"/>
    <w:rsid w:val="008013FC"/>
    <w:rsid w:val="008037C8"/>
    <w:rsid w:val="008055D6"/>
    <w:rsid w:val="00807F36"/>
    <w:rsid w:val="0081214B"/>
    <w:rsid w:val="00814283"/>
    <w:rsid w:val="00816196"/>
    <w:rsid w:val="008168F8"/>
    <w:rsid w:val="00816C13"/>
    <w:rsid w:val="00816C56"/>
    <w:rsid w:val="00820A7D"/>
    <w:rsid w:val="00820F4A"/>
    <w:rsid w:val="00823326"/>
    <w:rsid w:val="008233FA"/>
    <w:rsid w:val="008237ED"/>
    <w:rsid w:val="00823EF8"/>
    <w:rsid w:val="00826999"/>
    <w:rsid w:val="008275A5"/>
    <w:rsid w:val="00832F23"/>
    <w:rsid w:val="008351B0"/>
    <w:rsid w:val="00842464"/>
    <w:rsid w:val="0084637E"/>
    <w:rsid w:val="008465D7"/>
    <w:rsid w:val="0084673E"/>
    <w:rsid w:val="0084785E"/>
    <w:rsid w:val="008503EC"/>
    <w:rsid w:val="00855380"/>
    <w:rsid w:val="00855420"/>
    <w:rsid w:val="00856F20"/>
    <w:rsid w:val="00860239"/>
    <w:rsid w:val="00860315"/>
    <w:rsid w:val="00862BE6"/>
    <w:rsid w:val="008641E7"/>
    <w:rsid w:val="00864691"/>
    <w:rsid w:val="00864B75"/>
    <w:rsid w:val="00864C0D"/>
    <w:rsid w:val="00865458"/>
    <w:rsid w:val="00866E71"/>
    <w:rsid w:val="00873C29"/>
    <w:rsid w:val="0088066C"/>
    <w:rsid w:val="00881248"/>
    <w:rsid w:val="008824F3"/>
    <w:rsid w:val="0088350A"/>
    <w:rsid w:val="00884564"/>
    <w:rsid w:val="0088502F"/>
    <w:rsid w:val="00886A93"/>
    <w:rsid w:val="0089080A"/>
    <w:rsid w:val="00890E76"/>
    <w:rsid w:val="00891397"/>
    <w:rsid w:val="00891F83"/>
    <w:rsid w:val="008942DF"/>
    <w:rsid w:val="00894CA4"/>
    <w:rsid w:val="0089614B"/>
    <w:rsid w:val="0089632D"/>
    <w:rsid w:val="008A0321"/>
    <w:rsid w:val="008A309A"/>
    <w:rsid w:val="008A3A4E"/>
    <w:rsid w:val="008A429F"/>
    <w:rsid w:val="008A5429"/>
    <w:rsid w:val="008A581D"/>
    <w:rsid w:val="008B1999"/>
    <w:rsid w:val="008B4EB8"/>
    <w:rsid w:val="008B6C0F"/>
    <w:rsid w:val="008C1BF5"/>
    <w:rsid w:val="008C28A8"/>
    <w:rsid w:val="008C50AD"/>
    <w:rsid w:val="008D0991"/>
    <w:rsid w:val="008D4092"/>
    <w:rsid w:val="008D664F"/>
    <w:rsid w:val="008D68A2"/>
    <w:rsid w:val="008D6E24"/>
    <w:rsid w:val="008E29B2"/>
    <w:rsid w:val="008E4C22"/>
    <w:rsid w:val="008E54D6"/>
    <w:rsid w:val="008E5802"/>
    <w:rsid w:val="008F2026"/>
    <w:rsid w:val="008F3533"/>
    <w:rsid w:val="008F36CF"/>
    <w:rsid w:val="009064BA"/>
    <w:rsid w:val="0090751B"/>
    <w:rsid w:val="00911270"/>
    <w:rsid w:val="009216CA"/>
    <w:rsid w:val="00921C03"/>
    <w:rsid w:val="00923F7D"/>
    <w:rsid w:val="00924470"/>
    <w:rsid w:val="00924DC3"/>
    <w:rsid w:val="00926469"/>
    <w:rsid w:val="009322E6"/>
    <w:rsid w:val="009324DF"/>
    <w:rsid w:val="00933F54"/>
    <w:rsid w:val="0093612A"/>
    <w:rsid w:val="0093638F"/>
    <w:rsid w:val="00937692"/>
    <w:rsid w:val="00937C26"/>
    <w:rsid w:val="00937EF2"/>
    <w:rsid w:val="00944616"/>
    <w:rsid w:val="009473BC"/>
    <w:rsid w:val="0095157C"/>
    <w:rsid w:val="009526FD"/>
    <w:rsid w:val="00953C5D"/>
    <w:rsid w:val="00954049"/>
    <w:rsid w:val="0096359E"/>
    <w:rsid w:val="009641DF"/>
    <w:rsid w:val="00964A62"/>
    <w:rsid w:val="00964B82"/>
    <w:rsid w:val="009652FF"/>
    <w:rsid w:val="009658F0"/>
    <w:rsid w:val="009711C4"/>
    <w:rsid w:val="0098231B"/>
    <w:rsid w:val="009846D2"/>
    <w:rsid w:val="00985E46"/>
    <w:rsid w:val="00994587"/>
    <w:rsid w:val="00994CAF"/>
    <w:rsid w:val="00995564"/>
    <w:rsid w:val="00996D2A"/>
    <w:rsid w:val="009A004D"/>
    <w:rsid w:val="009A016B"/>
    <w:rsid w:val="009A0F57"/>
    <w:rsid w:val="009A135B"/>
    <w:rsid w:val="009A279F"/>
    <w:rsid w:val="009A356B"/>
    <w:rsid w:val="009A4AF1"/>
    <w:rsid w:val="009A6B6F"/>
    <w:rsid w:val="009B52AA"/>
    <w:rsid w:val="009B6068"/>
    <w:rsid w:val="009B70D4"/>
    <w:rsid w:val="009B7DA5"/>
    <w:rsid w:val="009C0127"/>
    <w:rsid w:val="009C0655"/>
    <w:rsid w:val="009C20C9"/>
    <w:rsid w:val="009C4B70"/>
    <w:rsid w:val="009C4E71"/>
    <w:rsid w:val="009C5E7D"/>
    <w:rsid w:val="009C5EA7"/>
    <w:rsid w:val="009C6C55"/>
    <w:rsid w:val="009C726D"/>
    <w:rsid w:val="009D0EB9"/>
    <w:rsid w:val="009D375D"/>
    <w:rsid w:val="009D7DFA"/>
    <w:rsid w:val="009E343B"/>
    <w:rsid w:val="009E4159"/>
    <w:rsid w:val="009E56B9"/>
    <w:rsid w:val="009E7EB5"/>
    <w:rsid w:val="00A02414"/>
    <w:rsid w:val="00A04222"/>
    <w:rsid w:val="00A05DFD"/>
    <w:rsid w:val="00A11B87"/>
    <w:rsid w:val="00A14BBA"/>
    <w:rsid w:val="00A1597E"/>
    <w:rsid w:val="00A16EA6"/>
    <w:rsid w:val="00A2048F"/>
    <w:rsid w:val="00A20F48"/>
    <w:rsid w:val="00A2143C"/>
    <w:rsid w:val="00A2188E"/>
    <w:rsid w:val="00A23576"/>
    <w:rsid w:val="00A265D5"/>
    <w:rsid w:val="00A27F1D"/>
    <w:rsid w:val="00A3286C"/>
    <w:rsid w:val="00A32A33"/>
    <w:rsid w:val="00A32B85"/>
    <w:rsid w:val="00A32E28"/>
    <w:rsid w:val="00A34A38"/>
    <w:rsid w:val="00A356C7"/>
    <w:rsid w:val="00A408D4"/>
    <w:rsid w:val="00A408E8"/>
    <w:rsid w:val="00A41022"/>
    <w:rsid w:val="00A43909"/>
    <w:rsid w:val="00A50D5F"/>
    <w:rsid w:val="00A51BE5"/>
    <w:rsid w:val="00A530AA"/>
    <w:rsid w:val="00A5346F"/>
    <w:rsid w:val="00A54317"/>
    <w:rsid w:val="00A554C9"/>
    <w:rsid w:val="00A57E42"/>
    <w:rsid w:val="00A610E2"/>
    <w:rsid w:val="00A61AD3"/>
    <w:rsid w:val="00A638FC"/>
    <w:rsid w:val="00A65671"/>
    <w:rsid w:val="00A658BC"/>
    <w:rsid w:val="00A707D3"/>
    <w:rsid w:val="00A709DE"/>
    <w:rsid w:val="00A712AF"/>
    <w:rsid w:val="00A72D70"/>
    <w:rsid w:val="00A73F4C"/>
    <w:rsid w:val="00A76FFB"/>
    <w:rsid w:val="00A81625"/>
    <w:rsid w:val="00A81C77"/>
    <w:rsid w:val="00A84DCD"/>
    <w:rsid w:val="00A87DCA"/>
    <w:rsid w:val="00A91556"/>
    <w:rsid w:val="00A91B8B"/>
    <w:rsid w:val="00A92B64"/>
    <w:rsid w:val="00A9554E"/>
    <w:rsid w:val="00A957C8"/>
    <w:rsid w:val="00AA0461"/>
    <w:rsid w:val="00AA0883"/>
    <w:rsid w:val="00AA2088"/>
    <w:rsid w:val="00AA434A"/>
    <w:rsid w:val="00AA74CA"/>
    <w:rsid w:val="00AB0627"/>
    <w:rsid w:val="00AB27BA"/>
    <w:rsid w:val="00AB3854"/>
    <w:rsid w:val="00AB6B72"/>
    <w:rsid w:val="00AC1152"/>
    <w:rsid w:val="00AC188D"/>
    <w:rsid w:val="00AC1D5B"/>
    <w:rsid w:val="00AC2E85"/>
    <w:rsid w:val="00AC36F8"/>
    <w:rsid w:val="00AC438C"/>
    <w:rsid w:val="00AC51A8"/>
    <w:rsid w:val="00AC5859"/>
    <w:rsid w:val="00AC6D8E"/>
    <w:rsid w:val="00AC7285"/>
    <w:rsid w:val="00AD0243"/>
    <w:rsid w:val="00AD712F"/>
    <w:rsid w:val="00AD7C3C"/>
    <w:rsid w:val="00AE2075"/>
    <w:rsid w:val="00AE497F"/>
    <w:rsid w:val="00AE5245"/>
    <w:rsid w:val="00AE58FD"/>
    <w:rsid w:val="00AF0087"/>
    <w:rsid w:val="00AF068D"/>
    <w:rsid w:val="00AF1BA2"/>
    <w:rsid w:val="00AF4B04"/>
    <w:rsid w:val="00AF55F8"/>
    <w:rsid w:val="00AF5B13"/>
    <w:rsid w:val="00AF5F6D"/>
    <w:rsid w:val="00AF6916"/>
    <w:rsid w:val="00AF7D06"/>
    <w:rsid w:val="00B00E1B"/>
    <w:rsid w:val="00B01EBB"/>
    <w:rsid w:val="00B03C6D"/>
    <w:rsid w:val="00B07AA2"/>
    <w:rsid w:val="00B10934"/>
    <w:rsid w:val="00B13C83"/>
    <w:rsid w:val="00B14A17"/>
    <w:rsid w:val="00B1501C"/>
    <w:rsid w:val="00B155EF"/>
    <w:rsid w:val="00B1789A"/>
    <w:rsid w:val="00B22B30"/>
    <w:rsid w:val="00B239B8"/>
    <w:rsid w:val="00B248F1"/>
    <w:rsid w:val="00B26BCB"/>
    <w:rsid w:val="00B279D6"/>
    <w:rsid w:val="00B27CC9"/>
    <w:rsid w:val="00B35E9E"/>
    <w:rsid w:val="00B3701E"/>
    <w:rsid w:val="00B4125E"/>
    <w:rsid w:val="00B429A5"/>
    <w:rsid w:val="00B4368A"/>
    <w:rsid w:val="00B44A41"/>
    <w:rsid w:val="00B45F81"/>
    <w:rsid w:val="00B47DAB"/>
    <w:rsid w:val="00B5280B"/>
    <w:rsid w:val="00B53E5F"/>
    <w:rsid w:val="00B551DE"/>
    <w:rsid w:val="00B55F26"/>
    <w:rsid w:val="00B57723"/>
    <w:rsid w:val="00B6282D"/>
    <w:rsid w:val="00B64121"/>
    <w:rsid w:val="00B65A9E"/>
    <w:rsid w:val="00B70DFB"/>
    <w:rsid w:val="00B751A2"/>
    <w:rsid w:val="00B75900"/>
    <w:rsid w:val="00B7690F"/>
    <w:rsid w:val="00B77A63"/>
    <w:rsid w:val="00B81C7C"/>
    <w:rsid w:val="00B81D33"/>
    <w:rsid w:val="00B83CF7"/>
    <w:rsid w:val="00B86041"/>
    <w:rsid w:val="00B90FDC"/>
    <w:rsid w:val="00B919C3"/>
    <w:rsid w:val="00B93686"/>
    <w:rsid w:val="00B941B2"/>
    <w:rsid w:val="00B942DA"/>
    <w:rsid w:val="00B95949"/>
    <w:rsid w:val="00B95A36"/>
    <w:rsid w:val="00B9702C"/>
    <w:rsid w:val="00BA4ABD"/>
    <w:rsid w:val="00BA4D49"/>
    <w:rsid w:val="00BA566B"/>
    <w:rsid w:val="00BA659E"/>
    <w:rsid w:val="00BA6C24"/>
    <w:rsid w:val="00BA6F8A"/>
    <w:rsid w:val="00BA7722"/>
    <w:rsid w:val="00BB3609"/>
    <w:rsid w:val="00BB7481"/>
    <w:rsid w:val="00BC007E"/>
    <w:rsid w:val="00BC09DF"/>
    <w:rsid w:val="00BC0FFB"/>
    <w:rsid w:val="00BC647D"/>
    <w:rsid w:val="00BC6A85"/>
    <w:rsid w:val="00BC749A"/>
    <w:rsid w:val="00BD1226"/>
    <w:rsid w:val="00BD3B61"/>
    <w:rsid w:val="00BD48F7"/>
    <w:rsid w:val="00BD5031"/>
    <w:rsid w:val="00BD779E"/>
    <w:rsid w:val="00BE5723"/>
    <w:rsid w:val="00BF129D"/>
    <w:rsid w:val="00BF1E79"/>
    <w:rsid w:val="00BF5169"/>
    <w:rsid w:val="00BF5550"/>
    <w:rsid w:val="00BF7D7A"/>
    <w:rsid w:val="00C00F67"/>
    <w:rsid w:val="00C02EC6"/>
    <w:rsid w:val="00C02FF6"/>
    <w:rsid w:val="00C041F4"/>
    <w:rsid w:val="00C047AB"/>
    <w:rsid w:val="00C04857"/>
    <w:rsid w:val="00C06564"/>
    <w:rsid w:val="00C0659F"/>
    <w:rsid w:val="00C07939"/>
    <w:rsid w:val="00C118F9"/>
    <w:rsid w:val="00C146F9"/>
    <w:rsid w:val="00C16C10"/>
    <w:rsid w:val="00C16D19"/>
    <w:rsid w:val="00C20D75"/>
    <w:rsid w:val="00C25425"/>
    <w:rsid w:val="00C25C4F"/>
    <w:rsid w:val="00C30EA0"/>
    <w:rsid w:val="00C312BC"/>
    <w:rsid w:val="00C31BAA"/>
    <w:rsid w:val="00C344FB"/>
    <w:rsid w:val="00C36F52"/>
    <w:rsid w:val="00C42EA7"/>
    <w:rsid w:val="00C463B3"/>
    <w:rsid w:val="00C506F2"/>
    <w:rsid w:val="00C520F1"/>
    <w:rsid w:val="00C530CC"/>
    <w:rsid w:val="00C60078"/>
    <w:rsid w:val="00C609EB"/>
    <w:rsid w:val="00C60FE7"/>
    <w:rsid w:val="00C631C5"/>
    <w:rsid w:val="00C6363D"/>
    <w:rsid w:val="00C63824"/>
    <w:rsid w:val="00C6475F"/>
    <w:rsid w:val="00C65689"/>
    <w:rsid w:val="00C66E1D"/>
    <w:rsid w:val="00C70B78"/>
    <w:rsid w:val="00C7735F"/>
    <w:rsid w:val="00C804FE"/>
    <w:rsid w:val="00C8327E"/>
    <w:rsid w:val="00C842D4"/>
    <w:rsid w:val="00C9003D"/>
    <w:rsid w:val="00C90618"/>
    <w:rsid w:val="00C92872"/>
    <w:rsid w:val="00C9293E"/>
    <w:rsid w:val="00C92AFD"/>
    <w:rsid w:val="00C95B97"/>
    <w:rsid w:val="00C95DF1"/>
    <w:rsid w:val="00C95FB2"/>
    <w:rsid w:val="00C968F4"/>
    <w:rsid w:val="00C96FB9"/>
    <w:rsid w:val="00CA2973"/>
    <w:rsid w:val="00CA7921"/>
    <w:rsid w:val="00CB0111"/>
    <w:rsid w:val="00CB7925"/>
    <w:rsid w:val="00CC0C46"/>
    <w:rsid w:val="00CC1626"/>
    <w:rsid w:val="00CC228B"/>
    <w:rsid w:val="00CC3323"/>
    <w:rsid w:val="00CC665F"/>
    <w:rsid w:val="00CC67F7"/>
    <w:rsid w:val="00CD1461"/>
    <w:rsid w:val="00CD1D4A"/>
    <w:rsid w:val="00CD3972"/>
    <w:rsid w:val="00CD446D"/>
    <w:rsid w:val="00CD4543"/>
    <w:rsid w:val="00CD4E69"/>
    <w:rsid w:val="00CD515D"/>
    <w:rsid w:val="00CD5E53"/>
    <w:rsid w:val="00CD6276"/>
    <w:rsid w:val="00CE255C"/>
    <w:rsid w:val="00CE2EE4"/>
    <w:rsid w:val="00CE3FEB"/>
    <w:rsid w:val="00CE424F"/>
    <w:rsid w:val="00CE701D"/>
    <w:rsid w:val="00CE759B"/>
    <w:rsid w:val="00CE76EE"/>
    <w:rsid w:val="00CF0265"/>
    <w:rsid w:val="00CF06E8"/>
    <w:rsid w:val="00CF07A4"/>
    <w:rsid w:val="00CF2F8A"/>
    <w:rsid w:val="00CF4331"/>
    <w:rsid w:val="00CF4F6F"/>
    <w:rsid w:val="00CF5449"/>
    <w:rsid w:val="00CF66EF"/>
    <w:rsid w:val="00D012C6"/>
    <w:rsid w:val="00D04900"/>
    <w:rsid w:val="00D058D2"/>
    <w:rsid w:val="00D06ABB"/>
    <w:rsid w:val="00D10CA3"/>
    <w:rsid w:val="00D125FB"/>
    <w:rsid w:val="00D14AA4"/>
    <w:rsid w:val="00D14CE6"/>
    <w:rsid w:val="00D154BF"/>
    <w:rsid w:val="00D200D1"/>
    <w:rsid w:val="00D21121"/>
    <w:rsid w:val="00D21BF0"/>
    <w:rsid w:val="00D228E6"/>
    <w:rsid w:val="00D235EA"/>
    <w:rsid w:val="00D24785"/>
    <w:rsid w:val="00D25E8B"/>
    <w:rsid w:val="00D270E7"/>
    <w:rsid w:val="00D303B3"/>
    <w:rsid w:val="00D33902"/>
    <w:rsid w:val="00D35515"/>
    <w:rsid w:val="00D35B96"/>
    <w:rsid w:val="00D36040"/>
    <w:rsid w:val="00D363C3"/>
    <w:rsid w:val="00D37234"/>
    <w:rsid w:val="00D40A2D"/>
    <w:rsid w:val="00D441B2"/>
    <w:rsid w:val="00D51FFA"/>
    <w:rsid w:val="00D552C6"/>
    <w:rsid w:val="00D556C1"/>
    <w:rsid w:val="00D55813"/>
    <w:rsid w:val="00D60710"/>
    <w:rsid w:val="00D61794"/>
    <w:rsid w:val="00D61D49"/>
    <w:rsid w:val="00D66FDB"/>
    <w:rsid w:val="00D675DF"/>
    <w:rsid w:val="00D74BF5"/>
    <w:rsid w:val="00D76031"/>
    <w:rsid w:val="00D763E9"/>
    <w:rsid w:val="00D76C5E"/>
    <w:rsid w:val="00D81A99"/>
    <w:rsid w:val="00D82339"/>
    <w:rsid w:val="00D83A98"/>
    <w:rsid w:val="00D87D5B"/>
    <w:rsid w:val="00D9112F"/>
    <w:rsid w:val="00D91856"/>
    <w:rsid w:val="00D91866"/>
    <w:rsid w:val="00D94D26"/>
    <w:rsid w:val="00D95809"/>
    <w:rsid w:val="00D97678"/>
    <w:rsid w:val="00D97853"/>
    <w:rsid w:val="00DA0127"/>
    <w:rsid w:val="00DA2298"/>
    <w:rsid w:val="00DA3150"/>
    <w:rsid w:val="00DA337F"/>
    <w:rsid w:val="00DA393D"/>
    <w:rsid w:val="00DA4937"/>
    <w:rsid w:val="00DA4C67"/>
    <w:rsid w:val="00DA58C2"/>
    <w:rsid w:val="00DA65BD"/>
    <w:rsid w:val="00DA6F01"/>
    <w:rsid w:val="00DB02C2"/>
    <w:rsid w:val="00DB057F"/>
    <w:rsid w:val="00DB21F9"/>
    <w:rsid w:val="00DB33CD"/>
    <w:rsid w:val="00DB3405"/>
    <w:rsid w:val="00DB75F4"/>
    <w:rsid w:val="00DC228B"/>
    <w:rsid w:val="00DC29FA"/>
    <w:rsid w:val="00DC4765"/>
    <w:rsid w:val="00DC63A1"/>
    <w:rsid w:val="00DC671D"/>
    <w:rsid w:val="00DD0CB2"/>
    <w:rsid w:val="00DD0D57"/>
    <w:rsid w:val="00DD1BB8"/>
    <w:rsid w:val="00DD1DE8"/>
    <w:rsid w:val="00DD2287"/>
    <w:rsid w:val="00DD3483"/>
    <w:rsid w:val="00DD4A33"/>
    <w:rsid w:val="00DD61A5"/>
    <w:rsid w:val="00DD63F6"/>
    <w:rsid w:val="00DD7872"/>
    <w:rsid w:val="00DE5F66"/>
    <w:rsid w:val="00DE6B89"/>
    <w:rsid w:val="00DF2DE0"/>
    <w:rsid w:val="00DF3845"/>
    <w:rsid w:val="00DF40BE"/>
    <w:rsid w:val="00DF46C5"/>
    <w:rsid w:val="00DF6073"/>
    <w:rsid w:val="00E03FEA"/>
    <w:rsid w:val="00E05642"/>
    <w:rsid w:val="00E05836"/>
    <w:rsid w:val="00E07336"/>
    <w:rsid w:val="00E123C2"/>
    <w:rsid w:val="00E135F7"/>
    <w:rsid w:val="00E16520"/>
    <w:rsid w:val="00E175E6"/>
    <w:rsid w:val="00E20801"/>
    <w:rsid w:val="00E235B4"/>
    <w:rsid w:val="00E236C4"/>
    <w:rsid w:val="00E2391F"/>
    <w:rsid w:val="00E250D5"/>
    <w:rsid w:val="00E303A0"/>
    <w:rsid w:val="00E325DC"/>
    <w:rsid w:val="00E3260B"/>
    <w:rsid w:val="00E33F76"/>
    <w:rsid w:val="00E354FC"/>
    <w:rsid w:val="00E36175"/>
    <w:rsid w:val="00E36D5D"/>
    <w:rsid w:val="00E42C66"/>
    <w:rsid w:val="00E44061"/>
    <w:rsid w:val="00E5139B"/>
    <w:rsid w:val="00E5489B"/>
    <w:rsid w:val="00E558D5"/>
    <w:rsid w:val="00E606F8"/>
    <w:rsid w:val="00E60B56"/>
    <w:rsid w:val="00E61C87"/>
    <w:rsid w:val="00E61EF6"/>
    <w:rsid w:val="00E62564"/>
    <w:rsid w:val="00E71413"/>
    <w:rsid w:val="00E72197"/>
    <w:rsid w:val="00E74B3C"/>
    <w:rsid w:val="00E76953"/>
    <w:rsid w:val="00E77367"/>
    <w:rsid w:val="00E77D20"/>
    <w:rsid w:val="00E81543"/>
    <w:rsid w:val="00E83720"/>
    <w:rsid w:val="00E8471E"/>
    <w:rsid w:val="00E857E1"/>
    <w:rsid w:val="00E9114F"/>
    <w:rsid w:val="00E91189"/>
    <w:rsid w:val="00E944ED"/>
    <w:rsid w:val="00E946E8"/>
    <w:rsid w:val="00E95569"/>
    <w:rsid w:val="00E96D46"/>
    <w:rsid w:val="00EA644E"/>
    <w:rsid w:val="00EA7A02"/>
    <w:rsid w:val="00EB28C1"/>
    <w:rsid w:val="00EB4975"/>
    <w:rsid w:val="00EB53C0"/>
    <w:rsid w:val="00EC00E7"/>
    <w:rsid w:val="00EC1A39"/>
    <w:rsid w:val="00EC295A"/>
    <w:rsid w:val="00EC2F60"/>
    <w:rsid w:val="00EC56B6"/>
    <w:rsid w:val="00EC6375"/>
    <w:rsid w:val="00EC7A99"/>
    <w:rsid w:val="00EC7E53"/>
    <w:rsid w:val="00ED1BBC"/>
    <w:rsid w:val="00ED458F"/>
    <w:rsid w:val="00ED4756"/>
    <w:rsid w:val="00ED54F2"/>
    <w:rsid w:val="00ED55B5"/>
    <w:rsid w:val="00EE057E"/>
    <w:rsid w:val="00EE0E34"/>
    <w:rsid w:val="00EE2F79"/>
    <w:rsid w:val="00EE417C"/>
    <w:rsid w:val="00EE69BA"/>
    <w:rsid w:val="00EF3E9E"/>
    <w:rsid w:val="00EF3F25"/>
    <w:rsid w:val="00EF6C76"/>
    <w:rsid w:val="00EF7CDE"/>
    <w:rsid w:val="00F00533"/>
    <w:rsid w:val="00F00F55"/>
    <w:rsid w:val="00F025B4"/>
    <w:rsid w:val="00F032A7"/>
    <w:rsid w:val="00F06512"/>
    <w:rsid w:val="00F1120B"/>
    <w:rsid w:val="00F11302"/>
    <w:rsid w:val="00F1393E"/>
    <w:rsid w:val="00F14919"/>
    <w:rsid w:val="00F14A63"/>
    <w:rsid w:val="00F22BFD"/>
    <w:rsid w:val="00F24106"/>
    <w:rsid w:val="00F25CB5"/>
    <w:rsid w:val="00F26A2A"/>
    <w:rsid w:val="00F30943"/>
    <w:rsid w:val="00F3217F"/>
    <w:rsid w:val="00F35B52"/>
    <w:rsid w:val="00F427BD"/>
    <w:rsid w:val="00F42EA8"/>
    <w:rsid w:val="00F441D6"/>
    <w:rsid w:val="00F473AE"/>
    <w:rsid w:val="00F475AF"/>
    <w:rsid w:val="00F516B7"/>
    <w:rsid w:val="00F51AA1"/>
    <w:rsid w:val="00F533F2"/>
    <w:rsid w:val="00F535F6"/>
    <w:rsid w:val="00F54F56"/>
    <w:rsid w:val="00F6130D"/>
    <w:rsid w:val="00F62139"/>
    <w:rsid w:val="00F62524"/>
    <w:rsid w:val="00F64645"/>
    <w:rsid w:val="00F67E93"/>
    <w:rsid w:val="00F70810"/>
    <w:rsid w:val="00F72BE5"/>
    <w:rsid w:val="00F755FA"/>
    <w:rsid w:val="00F77C38"/>
    <w:rsid w:val="00F84DE1"/>
    <w:rsid w:val="00F86F1F"/>
    <w:rsid w:val="00F879BD"/>
    <w:rsid w:val="00F90441"/>
    <w:rsid w:val="00F9280F"/>
    <w:rsid w:val="00F94178"/>
    <w:rsid w:val="00F950BF"/>
    <w:rsid w:val="00F956C7"/>
    <w:rsid w:val="00FA3F50"/>
    <w:rsid w:val="00FA4E1E"/>
    <w:rsid w:val="00FA5C85"/>
    <w:rsid w:val="00FA6BD7"/>
    <w:rsid w:val="00FB246C"/>
    <w:rsid w:val="00FB2D72"/>
    <w:rsid w:val="00FB2DC8"/>
    <w:rsid w:val="00FB384F"/>
    <w:rsid w:val="00FB3A4D"/>
    <w:rsid w:val="00FB5EF4"/>
    <w:rsid w:val="00FB6072"/>
    <w:rsid w:val="00FB6150"/>
    <w:rsid w:val="00FB61B2"/>
    <w:rsid w:val="00FB7D38"/>
    <w:rsid w:val="00FC07EF"/>
    <w:rsid w:val="00FC3F63"/>
    <w:rsid w:val="00FC54EA"/>
    <w:rsid w:val="00FC738D"/>
    <w:rsid w:val="00FD043B"/>
    <w:rsid w:val="00FD19C0"/>
    <w:rsid w:val="00FD2728"/>
    <w:rsid w:val="00FD2A6D"/>
    <w:rsid w:val="00FD59F2"/>
    <w:rsid w:val="00FD5A48"/>
    <w:rsid w:val="00FD5DAA"/>
    <w:rsid w:val="00FD67CF"/>
    <w:rsid w:val="00FE11AA"/>
    <w:rsid w:val="00FE1335"/>
    <w:rsid w:val="00FE20E3"/>
    <w:rsid w:val="00FE493E"/>
    <w:rsid w:val="00FE4A1B"/>
    <w:rsid w:val="00FE546C"/>
    <w:rsid w:val="00FE7965"/>
    <w:rsid w:val="00FF007B"/>
    <w:rsid w:val="00FF0428"/>
    <w:rsid w:val="00FF51E4"/>
    <w:rsid w:val="00FF615B"/>
    <w:rsid w:val="00FF7D8E"/>
    <w:rsid w:val="0CC6E6FC"/>
    <w:rsid w:val="15D43424"/>
    <w:rsid w:val="26C5F356"/>
    <w:rsid w:val="28A1D016"/>
    <w:rsid w:val="2FBF4A00"/>
    <w:rsid w:val="37DAD942"/>
    <w:rsid w:val="396A4BB9"/>
    <w:rsid w:val="3C566309"/>
    <w:rsid w:val="66269F44"/>
    <w:rsid w:val="708573A1"/>
    <w:rsid w:val="7F9731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887D0E"/>
  <w15:chartTrackingRefBased/>
  <w15:docId w15:val="{7FAA18B6-A021-483B-8879-BA8180B47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C77"/>
    <w:pPr>
      <w:spacing w:after="0" w:line="240" w:lineRule="auto"/>
    </w:pPr>
    <w:rPr>
      <w:rFonts w:ascii="Arial" w:eastAsia="Times New Roman" w:hAnsi="Arial" w:cs="Times New Roman"/>
      <w:sz w:val="24"/>
      <w:szCs w:val="20"/>
    </w:rPr>
  </w:style>
  <w:style w:type="paragraph" w:styleId="Heading1">
    <w:name w:val="heading 1"/>
    <w:basedOn w:val="Heading2"/>
    <w:next w:val="Normal"/>
    <w:link w:val="Heading1Char"/>
    <w:qFormat/>
    <w:rsid w:val="00A81C77"/>
    <w:pPr>
      <w:outlineLvl w:val="0"/>
    </w:pPr>
    <w:rPr>
      <w:b w:val="0"/>
      <w:sz w:val="36"/>
    </w:rPr>
  </w:style>
  <w:style w:type="paragraph" w:styleId="Heading2">
    <w:name w:val="heading 2"/>
    <w:basedOn w:val="Normal"/>
    <w:next w:val="Normal"/>
    <w:link w:val="Heading2Char"/>
    <w:qFormat/>
    <w:rsid w:val="00A81C77"/>
    <w:pPr>
      <w:outlineLvl w:val="1"/>
    </w:pPr>
    <w:rPr>
      <w:rFonts w:ascii="Arial Black" w:hAnsi="Arial Black" w:cs="Arial"/>
      <w:b/>
      <w:bCs/>
      <w:sz w:val="32"/>
      <w:szCs w:val="32"/>
    </w:rPr>
  </w:style>
  <w:style w:type="paragraph" w:styleId="Heading3">
    <w:name w:val="heading 3"/>
    <w:basedOn w:val="Normal"/>
    <w:next w:val="Normal"/>
    <w:link w:val="Heading3Char"/>
    <w:qFormat/>
    <w:rsid w:val="00A81C77"/>
    <w:pPr>
      <w:ind w:left="720" w:hanging="720"/>
      <w:jc w:val="both"/>
      <w:outlineLvl w:val="2"/>
    </w:pPr>
    <w:rPr>
      <w:rFonts w:cs="Arial"/>
      <w:b/>
      <w:bCs/>
      <w:sz w:val="28"/>
      <w:szCs w:val="28"/>
    </w:rPr>
  </w:style>
  <w:style w:type="paragraph" w:styleId="Heading4">
    <w:name w:val="heading 4"/>
    <w:basedOn w:val="Normal"/>
    <w:next w:val="Normal"/>
    <w:link w:val="Heading4Char"/>
    <w:qFormat/>
    <w:rsid w:val="00A81C77"/>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1C77"/>
    <w:rPr>
      <w:rFonts w:ascii="Arial Black" w:eastAsia="Times New Roman" w:hAnsi="Arial Black" w:cs="Arial"/>
      <w:bCs/>
      <w:sz w:val="36"/>
      <w:szCs w:val="32"/>
    </w:rPr>
  </w:style>
  <w:style w:type="character" w:customStyle="1" w:styleId="Heading2Char">
    <w:name w:val="Heading 2 Char"/>
    <w:basedOn w:val="DefaultParagraphFont"/>
    <w:link w:val="Heading2"/>
    <w:rsid w:val="00A81C77"/>
    <w:rPr>
      <w:rFonts w:ascii="Arial Black" w:eastAsia="Times New Roman" w:hAnsi="Arial Black" w:cs="Arial"/>
      <w:b/>
      <w:bCs/>
      <w:sz w:val="32"/>
      <w:szCs w:val="32"/>
    </w:rPr>
  </w:style>
  <w:style w:type="character" w:customStyle="1" w:styleId="Heading3Char">
    <w:name w:val="Heading 3 Char"/>
    <w:basedOn w:val="DefaultParagraphFont"/>
    <w:link w:val="Heading3"/>
    <w:rsid w:val="00A81C77"/>
    <w:rPr>
      <w:rFonts w:ascii="Arial" w:eastAsia="Times New Roman" w:hAnsi="Arial" w:cs="Arial"/>
      <w:b/>
      <w:bCs/>
      <w:sz w:val="28"/>
      <w:szCs w:val="28"/>
    </w:rPr>
  </w:style>
  <w:style w:type="character" w:customStyle="1" w:styleId="Heading4Char">
    <w:name w:val="Heading 4 Char"/>
    <w:basedOn w:val="DefaultParagraphFont"/>
    <w:link w:val="Heading4"/>
    <w:rsid w:val="00A81C77"/>
    <w:rPr>
      <w:rFonts w:ascii="Arial" w:eastAsia="Times New Roman" w:hAnsi="Arial" w:cs="Arial"/>
      <w:b/>
      <w:sz w:val="24"/>
      <w:szCs w:val="20"/>
    </w:rPr>
  </w:style>
  <w:style w:type="paragraph" w:styleId="Footer">
    <w:name w:val="footer"/>
    <w:basedOn w:val="Normal"/>
    <w:link w:val="FooterChar"/>
    <w:rsid w:val="00A81C77"/>
    <w:pPr>
      <w:tabs>
        <w:tab w:val="center" w:pos="4153"/>
        <w:tab w:val="right" w:pos="8306"/>
      </w:tabs>
    </w:pPr>
    <w:rPr>
      <w:szCs w:val="24"/>
      <w:lang w:val="en-US"/>
    </w:rPr>
  </w:style>
  <w:style w:type="character" w:customStyle="1" w:styleId="FooterChar">
    <w:name w:val="Footer Char"/>
    <w:basedOn w:val="DefaultParagraphFont"/>
    <w:link w:val="Footer"/>
    <w:rsid w:val="00A81C77"/>
    <w:rPr>
      <w:rFonts w:ascii="Arial" w:eastAsia="Times New Roman" w:hAnsi="Arial" w:cs="Times New Roman"/>
      <w:sz w:val="24"/>
      <w:szCs w:val="24"/>
      <w:lang w:val="en-US"/>
    </w:rPr>
  </w:style>
  <w:style w:type="paragraph" w:customStyle="1" w:styleId="Infotext">
    <w:name w:val="Info text"/>
    <w:basedOn w:val="Normal"/>
    <w:rsid w:val="00A81C77"/>
    <w:rPr>
      <w:sz w:val="28"/>
    </w:rPr>
  </w:style>
  <w:style w:type="paragraph" w:styleId="Header">
    <w:name w:val="header"/>
    <w:basedOn w:val="Normal"/>
    <w:link w:val="HeaderChar"/>
    <w:rsid w:val="00A81C77"/>
    <w:pPr>
      <w:tabs>
        <w:tab w:val="center" w:pos="4153"/>
        <w:tab w:val="right" w:pos="8306"/>
      </w:tabs>
    </w:pPr>
  </w:style>
  <w:style w:type="character" w:customStyle="1" w:styleId="HeaderChar">
    <w:name w:val="Header Char"/>
    <w:basedOn w:val="DefaultParagraphFont"/>
    <w:link w:val="Header"/>
    <w:rsid w:val="00A81C77"/>
    <w:rPr>
      <w:rFonts w:ascii="Arial" w:eastAsia="Times New Roman" w:hAnsi="Arial" w:cs="Times New Roman"/>
      <w:sz w:val="24"/>
      <w:szCs w:val="20"/>
    </w:rPr>
  </w:style>
  <w:style w:type="character" w:styleId="Hyperlink">
    <w:name w:val="Hyperlink"/>
    <w:rsid w:val="00A81C77"/>
    <w:rPr>
      <w:color w:val="0000FF"/>
      <w:u w:val="single"/>
    </w:rPr>
  </w:style>
  <w:style w:type="paragraph" w:styleId="ListParagraph">
    <w:name w:val="List Paragraph"/>
    <w:aliases w:val="List Paragraph 1"/>
    <w:basedOn w:val="Normal"/>
    <w:link w:val="ListParagraphChar"/>
    <w:uiPriority w:val="34"/>
    <w:qFormat/>
    <w:rsid w:val="00A81C77"/>
    <w:pPr>
      <w:ind w:left="720"/>
    </w:pPr>
  </w:style>
  <w:style w:type="table" w:customStyle="1" w:styleId="Style1">
    <w:name w:val="Style1"/>
    <w:basedOn w:val="TableNormal"/>
    <w:uiPriority w:val="99"/>
    <w:rsid w:val="00A81C77"/>
    <w:pPr>
      <w:spacing w:after="0" w:line="240" w:lineRule="auto"/>
    </w:pPr>
    <w:rPr>
      <w:rFonts w:ascii="Arial" w:eastAsia="Times New Roman" w:hAnsi="Arial" w:cs="Times New Roman"/>
      <w:sz w:val="24"/>
      <w:szCs w:val="20"/>
      <w:lang w:eastAsia="en-GB"/>
    </w:rPr>
    <w:tblPr/>
    <w:tcPr>
      <w:shd w:val="clear" w:color="auto" w:fill="FFFFFF" w:themeFill="background1"/>
    </w:tcPr>
  </w:style>
  <w:style w:type="paragraph" w:customStyle="1" w:styleId="paragraph">
    <w:name w:val="paragraph"/>
    <w:basedOn w:val="Normal"/>
    <w:rsid w:val="00A81C77"/>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A81C77"/>
  </w:style>
  <w:style w:type="character" w:customStyle="1" w:styleId="eop">
    <w:name w:val="eop"/>
    <w:basedOn w:val="DefaultParagraphFont"/>
    <w:rsid w:val="00A81C77"/>
  </w:style>
  <w:style w:type="paragraph" w:customStyle="1" w:styleId="StyleListParagraphBold">
    <w:name w:val="Style List Paragraph + Bold"/>
    <w:basedOn w:val="ListParagraph"/>
    <w:rsid w:val="00A81C77"/>
    <w:rPr>
      <w:rFonts w:eastAsia="Calibri" w:cs="Arial"/>
      <w:b/>
      <w:bCs/>
      <w:color w:val="000000"/>
      <w:szCs w:val="22"/>
      <w:lang w:eastAsia="en-GB"/>
    </w:rPr>
  </w:style>
  <w:style w:type="table" w:styleId="TableGrid">
    <w:name w:val="Table Grid"/>
    <w:basedOn w:val="TableNormal"/>
    <w:rsid w:val="00C92AF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E69BA"/>
    <w:pPr>
      <w:spacing w:after="0" w:line="240" w:lineRule="auto"/>
    </w:pPr>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17227E"/>
    <w:rPr>
      <w:sz w:val="16"/>
      <w:szCs w:val="16"/>
    </w:rPr>
  </w:style>
  <w:style w:type="paragraph" w:styleId="CommentText">
    <w:name w:val="annotation text"/>
    <w:basedOn w:val="Normal"/>
    <w:link w:val="CommentTextChar"/>
    <w:uiPriority w:val="99"/>
    <w:unhideWhenUsed/>
    <w:rsid w:val="0017227E"/>
    <w:rPr>
      <w:sz w:val="20"/>
    </w:rPr>
  </w:style>
  <w:style w:type="character" w:customStyle="1" w:styleId="CommentTextChar">
    <w:name w:val="Comment Text Char"/>
    <w:basedOn w:val="DefaultParagraphFont"/>
    <w:link w:val="CommentText"/>
    <w:uiPriority w:val="99"/>
    <w:rsid w:val="0017227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7227E"/>
    <w:rPr>
      <w:b/>
      <w:bCs/>
    </w:rPr>
  </w:style>
  <w:style w:type="character" w:customStyle="1" w:styleId="CommentSubjectChar">
    <w:name w:val="Comment Subject Char"/>
    <w:basedOn w:val="CommentTextChar"/>
    <w:link w:val="CommentSubject"/>
    <w:uiPriority w:val="99"/>
    <w:semiHidden/>
    <w:rsid w:val="0017227E"/>
    <w:rPr>
      <w:rFonts w:ascii="Arial" w:eastAsia="Times New Roman" w:hAnsi="Arial" w:cs="Times New Roman"/>
      <w:b/>
      <w:bCs/>
      <w:sz w:val="20"/>
      <w:szCs w:val="20"/>
    </w:rPr>
  </w:style>
  <w:style w:type="character" w:styleId="UnresolvedMention">
    <w:name w:val="Unresolved Mention"/>
    <w:basedOn w:val="DefaultParagraphFont"/>
    <w:uiPriority w:val="99"/>
    <w:semiHidden/>
    <w:unhideWhenUsed/>
    <w:rsid w:val="00102D84"/>
    <w:rPr>
      <w:color w:val="605E5C"/>
      <w:shd w:val="clear" w:color="auto" w:fill="E1DFDD"/>
    </w:rPr>
  </w:style>
  <w:style w:type="paragraph" w:styleId="BodyText">
    <w:name w:val="Body Text"/>
    <w:basedOn w:val="Normal"/>
    <w:link w:val="BodyTextChar"/>
    <w:rsid w:val="007231DB"/>
    <w:rPr>
      <w:rFonts w:cs="Arial"/>
      <w:i/>
      <w:iCs/>
    </w:rPr>
  </w:style>
  <w:style w:type="character" w:customStyle="1" w:styleId="BodyTextChar">
    <w:name w:val="Body Text Char"/>
    <w:basedOn w:val="DefaultParagraphFont"/>
    <w:link w:val="BodyText"/>
    <w:rsid w:val="007231DB"/>
    <w:rPr>
      <w:rFonts w:ascii="Arial" w:eastAsia="Times New Roman" w:hAnsi="Arial" w:cs="Arial"/>
      <w:i/>
      <w:iCs/>
      <w:sz w:val="24"/>
      <w:szCs w:val="20"/>
    </w:rPr>
  </w:style>
  <w:style w:type="paragraph" w:customStyle="1" w:styleId="Default">
    <w:name w:val="Default"/>
    <w:rsid w:val="006F40CB"/>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aliases w:val="List Paragraph 1 Char"/>
    <w:basedOn w:val="DefaultParagraphFont"/>
    <w:link w:val="ListParagraph"/>
    <w:uiPriority w:val="34"/>
    <w:rsid w:val="00AD7C3C"/>
    <w:rPr>
      <w:rFonts w:ascii="Arial" w:eastAsia="Times New Roman" w:hAnsi="Arial" w:cs="Times New Roman"/>
      <w:sz w:val="24"/>
      <w:szCs w:val="20"/>
    </w:rPr>
  </w:style>
  <w:style w:type="paragraph" w:customStyle="1" w:styleId="Sub2Textlist">
    <w:name w:val="Sub 2 Text list"/>
    <w:basedOn w:val="ListParagraph"/>
    <w:link w:val="Sub2TextlistChar"/>
    <w:qFormat/>
    <w:rsid w:val="00AD7C3C"/>
    <w:pPr>
      <w:widowControl w:val="0"/>
      <w:tabs>
        <w:tab w:val="left" w:pos="993"/>
        <w:tab w:val="left" w:pos="3119"/>
        <w:tab w:val="left" w:pos="3686"/>
        <w:tab w:val="left" w:pos="4253"/>
      </w:tabs>
      <w:adjustRightInd w:val="0"/>
      <w:spacing w:before="240" w:after="240"/>
      <w:ind w:left="993" w:hanging="709"/>
      <w:textAlignment w:val="baseline"/>
      <w:outlineLvl w:val="1"/>
    </w:pPr>
    <w:rPr>
      <w:rFonts w:cs="Arial"/>
      <w:szCs w:val="24"/>
    </w:rPr>
  </w:style>
  <w:style w:type="character" w:customStyle="1" w:styleId="Sub2TextlistChar">
    <w:name w:val="Sub 2 Text list Char"/>
    <w:basedOn w:val="DefaultParagraphFont"/>
    <w:link w:val="Sub2Textlist"/>
    <w:rsid w:val="00AD7C3C"/>
    <w:rPr>
      <w:rFonts w:ascii="Arial" w:eastAsia="Times New Roman" w:hAnsi="Arial" w:cs="Arial"/>
      <w:sz w:val="24"/>
      <w:szCs w:val="24"/>
    </w:rPr>
  </w:style>
  <w:style w:type="paragraph" w:customStyle="1" w:styleId="xmsonormal">
    <w:name w:val="x_msonormal"/>
    <w:basedOn w:val="Normal"/>
    <w:rsid w:val="001D2765"/>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916861">
      <w:bodyDiv w:val="1"/>
      <w:marLeft w:val="0"/>
      <w:marRight w:val="0"/>
      <w:marTop w:val="0"/>
      <w:marBottom w:val="0"/>
      <w:divBdr>
        <w:top w:val="none" w:sz="0" w:space="0" w:color="auto"/>
        <w:left w:val="none" w:sz="0" w:space="0" w:color="auto"/>
        <w:bottom w:val="none" w:sz="0" w:space="0" w:color="auto"/>
        <w:right w:val="none" w:sz="0" w:space="0" w:color="auto"/>
      </w:divBdr>
    </w:div>
    <w:div w:id="1013456591">
      <w:bodyDiv w:val="1"/>
      <w:marLeft w:val="0"/>
      <w:marRight w:val="0"/>
      <w:marTop w:val="0"/>
      <w:marBottom w:val="0"/>
      <w:divBdr>
        <w:top w:val="none" w:sz="0" w:space="0" w:color="auto"/>
        <w:left w:val="none" w:sz="0" w:space="0" w:color="auto"/>
        <w:bottom w:val="none" w:sz="0" w:space="0" w:color="auto"/>
        <w:right w:val="none" w:sz="0" w:space="0" w:color="auto"/>
      </w:divBdr>
    </w:div>
    <w:div w:id="1448310933">
      <w:bodyDiv w:val="1"/>
      <w:marLeft w:val="0"/>
      <w:marRight w:val="0"/>
      <w:marTop w:val="0"/>
      <w:marBottom w:val="0"/>
      <w:divBdr>
        <w:top w:val="none" w:sz="0" w:space="0" w:color="auto"/>
        <w:left w:val="none" w:sz="0" w:space="0" w:color="auto"/>
        <w:bottom w:val="none" w:sz="0" w:space="0" w:color="auto"/>
        <w:right w:val="none" w:sz="0" w:space="0" w:color="auto"/>
      </w:divBdr>
    </w:div>
    <w:div w:id="1510682437">
      <w:bodyDiv w:val="1"/>
      <w:marLeft w:val="0"/>
      <w:marRight w:val="0"/>
      <w:marTop w:val="0"/>
      <w:marBottom w:val="0"/>
      <w:divBdr>
        <w:top w:val="none" w:sz="0" w:space="0" w:color="auto"/>
        <w:left w:val="none" w:sz="0" w:space="0" w:color="auto"/>
        <w:bottom w:val="none" w:sz="0" w:space="0" w:color="auto"/>
        <w:right w:val="none" w:sz="0" w:space="0" w:color="auto"/>
      </w:divBdr>
    </w:div>
    <w:div w:id="1748117137">
      <w:bodyDiv w:val="1"/>
      <w:marLeft w:val="0"/>
      <w:marRight w:val="0"/>
      <w:marTop w:val="0"/>
      <w:marBottom w:val="0"/>
      <w:divBdr>
        <w:top w:val="none" w:sz="0" w:space="0" w:color="auto"/>
        <w:left w:val="none" w:sz="0" w:space="0" w:color="auto"/>
        <w:bottom w:val="none" w:sz="0" w:space="0" w:color="auto"/>
        <w:right w:val="none" w:sz="0" w:space="0" w:color="auto"/>
      </w:divBdr>
    </w:div>
    <w:div w:id="201198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lton.cenac@harrow.gov.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CD19A-5A86-4D1E-8977-A4AD7A699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2424</Words>
  <Characters>13821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16213</CharactersWithSpaces>
  <SharedDoc>false</SharedDoc>
  <HLinks>
    <vt:vector size="6" baseType="variant">
      <vt:variant>
        <vt:i4>7274565</vt:i4>
      </vt:variant>
      <vt:variant>
        <vt:i4>0</vt:i4>
      </vt:variant>
      <vt:variant>
        <vt:i4>0</vt:i4>
      </vt:variant>
      <vt:variant>
        <vt:i4>5</vt:i4>
      </vt:variant>
      <vt:variant>
        <vt:lpwstr>mailto:dalton.cenac@harrow.gov.uk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Annabelle Fosu</dc:creator>
  <cp:keywords/>
  <dc:description/>
  <cp:lastModifiedBy>Andrew Seaman5</cp:lastModifiedBy>
  <cp:revision>4</cp:revision>
  <dcterms:created xsi:type="dcterms:W3CDTF">2023-11-08T14:16:00Z</dcterms:created>
  <dcterms:modified xsi:type="dcterms:W3CDTF">2023-11-08T15:25:00Z</dcterms:modified>
</cp:coreProperties>
</file>